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2" w:rsidRDefault="00092658" w:rsidP="00092658">
      <w:pPr>
        <w:jc w:val="both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Acordam no Pleno da Secção de Contencioso Administrativo do Supremo Tribunal Administrativo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1. Relatório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Ministério da Administração Interna – Serviço de Estrangeiros e Fronteiras vem interpor recurso para uniformização de jurisprudência, ao abrigo do disposto no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152º, nº 1, alínea a) do CPTA.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Em alegações formula as seguintes conclusões: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-1.ª-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Os processos de impugnação judicial de recusa de admissibilidade do pedido de proteção internacional configuram, nos termos da legislação aplicável, </w:t>
      </w:r>
      <w:r>
        <w:rPr>
          <w:rFonts w:ascii="Arial" w:hAnsi="Arial" w:cs="Arial"/>
          <w:color w:val="000000"/>
          <w:sz w:val="27"/>
          <w:szCs w:val="27"/>
          <w:u w:val="single"/>
        </w:rPr>
        <w:t>processos gratuitos</w:t>
      </w:r>
      <w:r>
        <w:rPr>
          <w:rFonts w:ascii="Arial" w:hAnsi="Arial" w:cs="Arial"/>
          <w:color w:val="000000"/>
          <w:sz w:val="27"/>
          <w:szCs w:val="27"/>
        </w:rPr>
        <w:t xml:space="preserve"> (cfr.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84º da citada lei de Asilo).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-2.ª-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Inversamente, o Douto Acórdão de que ora se recorre (</w:t>
      </w:r>
      <w:r>
        <w:rPr>
          <w:rFonts w:ascii="Arial" w:hAnsi="Arial" w:cs="Arial"/>
          <w:b/>
          <w:bCs/>
          <w:color w:val="000000"/>
          <w:sz w:val="27"/>
          <w:szCs w:val="27"/>
        </w:rPr>
        <w:t>transitado em julgado em 05 do corrente mês</w:t>
      </w:r>
      <w:r>
        <w:rPr>
          <w:rFonts w:ascii="Arial" w:hAnsi="Arial" w:cs="Arial"/>
          <w:color w:val="000000"/>
          <w:sz w:val="27"/>
          <w:szCs w:val="27"/>
        </w:rPr>
        <w:t>) assim não entende, omitindo </w:t>
      </w:r>
      <w:r>
        <w:rPr>
          <w:rFonts w:ascii="Arial" w:hAnsi="Arial" w:cs="Arial"/>
          <w:i/>
          <w:iCs/>
          <w:color w:val="000000"/>
          <w:sz w:val="27"/>
          <w:szCs w:val="27"/>
        </w:rPr>
        <w:t>in toto </w:t>
      </w:r>
      <w:r>
        <w:rPr>
          <w:rFonts w:ascii="Arial" w:hAnsi="Arial" w:cs="Arial"/>
          <w:color w:val="000000"/>
          <w:sz w:val="27"/>
          <w:szCs w:val="27"/>
        </w:rPr>
        <w:t>a Lei 26/2014 de 5 de Maio e concluindo que, a legislação nacional não prevê, atualmente, uma isenção de custas para os processos de asilo e de proteção subsidiária, mas tão só a concessão de apoio judiciário, na modalidade de dispensa do pagamento de taxa de justiça e demais encargos com o processo.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-3.ª-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O ora recorrente, em total discordância, mas, uma vez vinculado àquele, pugna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senda dos vereditos supra aludidos (</w:t>
      </w:r>
      <w:r>
        <w:rPr>
          <w:rFonts w:ascii="Arial" w:hAnsi="Arial" w:cs="Arial"/>
          <w:i/>
          <w:iCs/>
          <w:color w:val="000000"/>
          <w:sz w:val="27"/>
          <w:szCs w:val="27"/>
        </w:rPr>
        <w:t>in </w:t>
      </w:r>
      <w:r>
        <w:rPr>
          <w:rFonts w:ascii="Arial" w:hAnsi="Arial" w:cs="Arial"/>
          <w:color w:val="000000"/>
          <w:sz w:val="27"/>
          <w:szCs w:val="27"/>
        </w:rPr>
        <w:t xml:space="preserve">arts.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8.º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e 9.º), que aplicam, sem reservas, o referido preceito legal.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–“</w:t>
      </w:r>
      <w:r>
        <w:rPr>
          <w:rFonts w:ascii="Arial" w:hAnsi="Arial" w:cs="Arial"/>
          <w:i/>
          <w:iCs/>
          <w:color w:val="000000"/>
          <w:sz w:val="27"/>
          <w:szCs w:val="27"/>
        </w:rPr>
        <w:t>Sem custas – art.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84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.º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da Lei n.º 27/2008, de 30/6</w:t>
      </w:r>
      <w:r>
        <w:rPr>
          <w:rFonts w:ascii="Arial" w:hAnsi="Arial" w:cs="Arial"/>
          <w:color w:val="000000"/>
          <w:sz w:val="27"/>
          <w:szCs w:val="27"/>
        </w:rPr>
        <w:t>” – Sic – STA </w:t>
      </w:r>
      <w:r>
        <w:rPr>
          <w:rFonts w:ascii="Arial" w:hAnsi="Arial" w:cs="Arial"/>
          <w:i/>
          <w:iCs/>
          <w:color w:val="000000"/>
          <w:sz w:val="27"/>
          <w:szCs w:val="27"/>
        </w:rPr>
        <w:t>in </w:t>
      </w:r>
      <w:r>
        <w:rPr>
          <w:rFonts w:ascii="Arial" w:hAnsi="Arial" w:cs="Arial"/>
          <w:color w:val="000000"/>
          <w:sz w:val="27"/>
          <w:szCs w:val="27"/>
        </w:rPr>
        <w:t>Recursos n.º 63/2015 (Proc. 11440 e nº 1331/14 (Proc. n.º 10821/14, do TCA Sul).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-4.ª-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Entendimento que, aliás, tem sido seguido transversalmente pelos tribunais administrativos de primeira instância.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-5.ª-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A contradição verificada</w:t>
      </w:r>
      <w:r>
        <w:rPr>
          <w:rFonts w:ascii="Arial" w:hAnsi="Arial" w:cs="Arial"/>
          <w:color w:val="000000"/>
          <w:sz w:val="27"/>
          <w:szCs w:val="27"/>
        </w:rPr>
        <w:t>, mina, por outro lado, o entendimento do recorrente sobre o procedimento a seguir nas diferentes fases administrativas sob a sua esfera, porquanto, o citado art. 84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não distingue a fase administrativa da fase judicial, fazendo assim crer, que o entendimento quanto a esta matéria é igual, quer estejamos na fase administrativa, quer na fase de contencioso.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-6.ª-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Por outro lado, a estatuída prerrogativa, não é também excecionada,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>fase judicial, consoante se trate da Administração, ou do requerente de asilo.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-7.ª-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Aliás, pese embora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alteração ocorrida em 2014 (Lei 26/2014), no que concerne a esta temática, não se verifica qualquer mudança.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-8.ª-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Acresce, que o invocado Decreto-Lei n.º 34/2008, de 26.02, sendo uma lei de caráter geral, não prevalece sobre o diploma de asilo, contido na Lei 27/2008, não só, por um lado, em face da já arguida especialidade deste, mas outrossim, face à impossibilidade temporal, pois sendo anterior à lei 26/2014, não pode cominar esse efeito (revogação).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-9.ª-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Em suma, imperioso se mostra, quanto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esta matéria, pelas razões aqui alegadas, a necessidade de uniformizar a jurisprudência.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Não foram apresentadas contra-alegações.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Foi dado cumprimento ao disposto no art. 146º, nº 1 do CPTA, não tendo sido emitido parecer.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Por despacho da relatora proferido em 11.05.2016, foi o recorrente convidado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indicar apenas um acórdão fundamento. O que fez em 19.05.2016, indicando,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como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acórdão fundamento, o acórdão proferido neste STA no processo nº 1331/14, em 05.02.2015.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Cumpre decidir.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2. Os Factos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Os factos provados são os constantes do acórdão recorrido de 16.12.2015, pelo TCAS, do seguinte teor: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1) A petição inicial da presente acção foi remetida ao TAC de Lisboa por telecópia em 30.04.2015, cujo teor aqui se dá por integralmente reproduzido, na qual A…………… impugna a decisão do Director Nacional Adjunto do Serviço de Estrangeiros e Fronteiras de não admissibilidade de asilo e protecção subsidiária, proferida em 27.04.2015, e solicita a sua invalidação, bem como a concessão de asilo ou, assim não se entendendo, a protecção subsidiária, nos termos do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7º da Lei 27/2008, de 30/6.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2) Em 20.5.2015 foi proferida decisão final, cujo teor aqui se dá por integralmente reproduzido, a qual julgou totalmente improcedente a presente acção e, em consequência, absolveu a entidade demandada do pedido.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3) Em 8.6.2015, A…………..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remeteu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ao TAC de Lisboa, por telecópia, requerimento de interposição de recurso – e respectivas alegações – da decisão descrita em 2).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4) Em 31.7.2015 foi proferido, neste TCA Sul, acórdão que apreciou esse recurso jurisdicional e cujo teor aqui se dá por integralmente reproduzido, no qual se consignou designadamente o seguinte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“Do exposto resulta que procede a nulidade processual invocada, pois falta a notificação a dar a conhecer à recorrente que o processo administrativo tinha sido junto a esta acção, pelo que deverá ser anulada a sentença recorrida (cfr.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art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195º nº 2, do CPC de 2013), bem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como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ordenada a baixa dos autos ao TAC de Lisboa para aí se proceder a essa notificação e, decorrido que seja o prazo do contraditório (e após decisão de eventuais requerimentos que sejam apresentados na sequência de tal notificação), à prolação de nova sentença.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Face à procedência desta questão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fica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prejudicado o conhecimento das restantes questões também suscitadas pela recorrente.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As custas ficam a cargo da parte vencida a final, já que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isenção prevista no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84º, da lei 27/2008, de 30/6, foi revogada pelo art.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25º, nº 1, do DL 34/2008, de 26/2 (e sem prejuízo, no que à recorrente diz respeito, da decisão proferida pela Segurança Social relativamente ao pedido de apoio judiciário que formulou, na modalidade de dispensa do pagamento da taxa de justiça e demais encargos com o processo).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III – DECISÃO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Pelo exposto, acordam, em conferência, os Juízes Desembargadores da Secção de Contencioso Administrativo do Tribunal Central Administrativo Sul em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I – Conceder provimento ao presente recurso jurisdicional </w:t>
      </w:r>
      <w:r>
        <w:rPr>
          <w:rFonts w:ascii="Arial" w:hAnsi="Arial" w:cs="Arial"/>
          <w:color w:val="000000"/>
          <w:sz w:val="27"/>
          <w:szCs w:val="27"/>
        </w:rPr>
        <w:t>e, em consequência: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a) Anular a sentença recorrida.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b) Ordenar a baixa dos autos ao TAC de Lisboa, a fim de aí proferida nova sentença, depois de realizada a notificação acima descrita.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II – Custas pela parte vencida a final.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”.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3. O Direito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3.1 Pressupostos de admissibilidade do recurso para uniformização de jurisprudência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No processo que deu origem ao presente recurso para uniformização de jurisprudência A…………… intentou no TAC de Lisboa acção de impugnação da decisão do Director Nacional Adjunto do Serviço de Estrangeiros e Fronteiras de não admissibilidade de asilo e protecção subsidiária, proferida em 27.04.2015, solicitando a sua invalidação, bem como a concessão do asilo ou, assim não se entendendo, da protecção subsidiária, nos termos do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7º, da Lei nº 27/2008, de 30/6.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Por sentença de 20.05.2015, o TAC de Lisboa julgou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acção improcedente.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Interposto recurso desta decisão veio o TCAS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anulá-la, por acórdão de 31.07.2015, determinando a baixa dos autos.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Mais se decidindo que as custas do processo ficariam a cargo da parte vencida a final.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O MAI pediu a reforma daquele acórdão quanto a custas, vindo a ser proferido o acórdão recorrido, datado de 16.12.2015, que indeferiu esse pedido de reforma, “</w:t>
      </w:r>
      <w:r>
        <w:rPr>
          <w:rFonts w:ascii="Arial" w:hAnsi="Arial" w:cs="Arial"/>
          <w:i/>
          <w:iCs/>
          <w:color w:val="000000"/>
          <w:sz w:val="27"/>
          <w:szCs w:val="27"/>
        </w:rPr>
        <w:t>mantendo o acórdão proferido em 31.7.2015, no segmento em que determinou que as custas ficam a cargo da parte vencida a final</w:t>
      </w:r>
      <w:r>
        <w:rPr>
          <w:rFonts w:ascii="Arial" w:hAnsi="Arial" w:cs="Arial"/>
          <w:color w:val="000000"/>
          <w:sz w:val="27"/>
          <w:szCs w:val="27"/>
        </w:rPr>
        <w:t>”.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O acórdão fundamento foi proferido por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este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Supremo Tribunal Administrativo, em 05.02.2015, no processo nº 1331/14. 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Ambos os acórdãos transitaram em julgado.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Após o trânsito vem o Recorrido MAI interpor o presente recurso para uniformização de jurisprudência, nos termos do art. 152º do CPTA, invocando existir uma contradição entre o acórdão impugnado do TCAS proferido em 16.12.2015,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e o acórdão do STA, de 05.02.2015, no processo nº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1331/14.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O recurso para uniformização de jurisprudência, previsto no art. 152º, nº 1, al. a) do CPTA, tem como requisitos de admissão, no que agora interessa, que exista contradição sobre a mesma questão fundamental de direito, entre acórdão do TCA e outro acórdão anterior do STA, proferidos ambos no mesmo quadro legal. E que se verifique o trânsito em julgado,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quer do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acórdão recorrido, quer do acórdão fundamento.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No caso em apreço verifica-se que o acórdão fundamento foi proferido neste STA em 05.02.2015 e o acórdão recorrido no TCAS em 16.12.2015 e que ambos transitaram em julgado.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No acórdão recorrido entendeu-se serem devidas custas nos processos em que está em causa a concessão do direito de asilo ou protecção subsidiário, previstos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Lei nº 27/2008, de 30/6, por se haver entendido que “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a isenção prevista no art.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84º, da lei 27/2008, de 30/6, foi revogada pelo art.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25º, nº 1, do DL 34/2008, de 26/2</w:t>
      </w:r>
      <w:r>
        <w:rPr>
          <w:rFonts w:ascii="Arial" w:hAnsi="Arial" w:cs="Arial"/>
          <w:color w:val="000000"/>
          <w:sz w:val="27"/>
          <w:szCs w:val="27"/>
        </w:rPr>
        <w:t>”.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Já no acórdão fundamento, proferido em processo da mesma natureza, quanto a custas a decisão foi a seguinte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“</w:t>
      </w:r>
      <w:r>
        <w:rPr>
          <w:rFonts w:ascii="Arial" w:hAnsi="Arial" w:cs="Arial"/>
          <w:b/>
          <w:bCs/>
          <w:color w:val="000000"/>
          <w:sz w:val="27"/>
          <w:szCs w:val="27"/>
        </w:rPr>
        <w:t>Sem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custas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artigo 84º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da Lei nº 27/2008, de 30.06</w:t>
      </w:r>
      <w:r>
        <w:rPr>
          <w:rFonts w:ascii="Arial" w:hAnsi="Arial" w:cs="Arial"/>
          <w:color w:val="000000"/>
          <w:sz w:val="27"/>
          <w:szCs w:val="27"/>
        </w:rPr>
        <w:t>”.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 questão fundamental de direito é a de saber se são, ou não devidas custas nos processos a que respeita a Lei nº 27/2008, face ao que dispõe o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84º desse diploma, que o acórdão recorrido considera revogado, e o acórdão fundamento aplicou, considerando não serem devidas custas.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Há, pois, contradição entre os dois acórdãos sobre a mesma questão fundamental de direito, devendo, consequentemente, ser admitido o presente recurso para uniformização de jurisprudência.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3.2 Do Mérito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 questão de direito que cumpre apreciar e decidir no presente recurso para uniformização de jurisprudência é a de saber se 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art.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84º da Lei nº 27/2008, de 30/6 se mantém, ou não, em vigor.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O art. 84º da Lei 27/2008 previa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sua redacção originária que os processos de concessão ou de perda de direito de asilo ou de protecção subsidiária fossem gratuitos quer na sua fase administrativa quer na judicial.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Entendeu o acórdão recorrido que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este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preceito teria sido revogado face ao que se encontra disposto nos arts. 25º, nº 1 e 26º, nº 1, ambos do DL nº 34/2008, de 26/2 (que aprovou o Regulamento das Custas Processuais [doravante RCP]), que revogou as isenções de custas previstas em qualquer lei, regulamento ou portaria e conferidas a quaisquer entidades públicas ou privadas, e não previstas nesse diploma.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Considerou-se, portanto, que se estaria perante uma isenção de custas, a qual teria deixado de estar contemplada no novo RCP (cfr. respectivo art. 4º, nºs 1 e 2).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Cita em abono da tese que defende o acórdão deste STA de 18.06.2015, processo nº 61/15, no qual se sumariou o seguinte: “</w:t>
      </w:r>
      <w:r>
        <w:rPr>
          <w:rFonts w:ascii="Arial" w:hAnsi="Arial" w:cs="Arial"/>
          <w:i/>
          <w:iCs/>
          <w:color w:val="000000"/>
          <w:sz w:val="27"/>
          <w:szCs w:val="27"/>
        </w:rPr>
        <w:t>O art. 25º, nº 1, do DL n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.º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34/2008, de 26/2, revogou todas as pretéritas isenções de custas que o RCP não manteve, designadamente a prevista no art. 48º, n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.º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2, do DL n.º 503/99, de 20/11</w:t>
      </w:r>
      <w:r>
        <w:rPr>
          <w:rFonts w:ascii="Arial" w:hAnsi="Arial" w:cs="Arial"/>
          <w:color w:val="000000"/>
          <w:sz w:val="27"/>
          <w:szCs w:val="27"/>
        </w:rPr>
        <w:t>”.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No entanto, a jurisprudência deste acórdão não é aplicável ao caso em </w:t>
      </w:r>
      <w:r>
        <w:rPr>
          <w:rFonts w:ascii="Arial" w:hAnsi="Arial" w:cs="Arial"/>
          <w:color w:val="000000"/>
          <w:sz w:val="27"/>
          <w:szCs w:val="27"/>
        </w:rPr>
        <w:lastRenderedPageBreak/>
        <w:t>apreço, por não estar prevista neste tipo de processos uma isenção de custas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como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acontecia na situação tratada no referido aresto).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 Lei nº 27/2008, foi alterada pela Lei nº 26/2014, de 5/5, dispondo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sua actual redacção [a aqui aplicável por já então se encontrar em vigor], art. 84º, o seguinte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“</w:t>
      </w:r>
      <w:r>
        <w:rPr>
          <w:rFonts w:ascii="Arial" w:hAnsi="Arial" w:cs="Arial"/>
          <w:i/>
          <w:iCs/>
          <w:color w:val="000000"/>
          <w:sz w:val="27"/>
          <w:szCs w:val="27"/>
        </w:rPr>
        <w:t>Os processos de concessão ou de perda do direito de asilo ou de proteção subsidiária e de expulsão são gratuitos e têm carácter urgente, quer na fase administrativa quer na judicial</w:t>
      </w:r>
      <w:r>
        <w:rPr>
          <w:rFonts w:ascii="Arial" w:hAnsi="Arial" w:cs="Arial"/>
          <w:color w:val="000000"/>
          <w:sz w:val="27"/>
          <w:szCs w:val="27"/>
        </w:rPr>
        <w:t>”.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Ora, quer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actual redacção do citado art. 84º da Lei nº 27/2008, quer na anterior (em tudo semelhantes), o que se prevê é a gratuitidade dos processos respeitante às situações em causa nesta Lei, tanto na sua fase administrativa como judicial, e não uma isenção de custas, pelo que o regime assim contemplado não está abrangido pelo RCP.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O regime previsto no art. 84º da Lei nº 27/2008, por não ser de isenção de custas, mas antes de gratuitidade na tramitação dos processos nela contemplados, teve em conta a especial vulnerabilidade e fragilidade da situação dos respectivos requerentes de asilo, atribuindo-lhe, entre outros, esse direito especial a um processo gratuito (cfr. as Directivas nºs 2004/83/CE e 2005/85/CE do Conselho, de 29/4 e 1/12, respectivamente).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E, não há quaisquer dúvidas de que o legislador quis manter esse direito ao processo gratuito, pois deixou intocada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alteração que introduziu com a Lei nº 26/2014, a norma constante do art.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84º da Lei nº 27/2008, quando poderia tê-la alterado ou suprimido, aplicando-se então aos requerentes de asilo o regime geral da lei de acesso ao direito e aos tribunais (o qual se defendeu ser o aplicável no acórdão recorrido).</w:t>
      </w:r>
      <w:proofErr w:type="gramEnd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E, não pode entender-se que um diploma de carácter geral, como é o RCP, possa ter revogado uma lei especial e posterior – a Lei nº 27/2008, na redacção que lhe foi introduzida pela Lei nº 26/2014.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Ora, se o legislador da lei especial posterior quis configurar, mantendo, um regime de gratuitidade de determinados processos, não ignorando,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como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não ignorava, certamente, o regime geral quanto a custas estabelecido no RCP, foi porque entendeu que os processos constantes da Lei nº 27/2008 pela sua especial natureza deviam obedecer a esse regime especial de gratuitidade.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Assim sendo, afigura-se-nos também que essa gratuitidade não pode restringir-se apenas aos requerentes do estatuto de refugiado,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mas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estende-se, de igual modo, à administração enquanto parte no litígio.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Com efeito,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fase judicial é sabido que há uma parte – a administração – que defende interesses opostos ao do requerente do estatuto de refugiado.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lastRenderedPageBreak/>
        <w:t>Ora, se o legislador tivesse querido que o processo apenas tivesse carácter gratuito para os requerentes daquele estatuto tê-lo-ia expressado no texto legal.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Se o não fez foi porque entendeu ser a solução mais correcta que esse tipo de processo fosse gratuito para os seus intervenientes, requerente de asilo e/ou Administração Pública (cfr. art. 9º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do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CC). 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Foi o que entendeu, e bem, o acórdão fundamento ao decidir em matéria de custas, não serem devidas, atento o disposto no art.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84º da Lei nº 27/2008.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Pelo exposto, acordam no pleno da Secção do Contencioso Administrativo em conceder provimento ao recurso, revogando o acórdão recorrido e deferindo o pedido de reforma no sentido de não serem devidas custas, atento o disposto no art. 84º da Lei nº 27/2008, de 30/6, fixando-se a seguinte jurisprudência «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Os processos de impugnação judicial no âmbito da concessão de asilo ou protecção subsidiária configuram-se, nos termos do artigo 84º da Lei nº 27/2008, de 30/6,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como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processos gratuitos</w:t>
      </w:r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Sem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custas.</w:t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Publique-se (art. 152º, nº 4 do CPTA).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Lisboa, 17 de Novembro de 2016.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– </w:t>
      </w:r>
      <w:r>
        <w:rPr>
          <w:rFonts w:ascii="Arial" w:hAnsi="Arial" w:cs="Arial"/>
          <w:i/>
          <w:iCs/>
          <w:color w:val="000000"/>
          <w:sz w:val="27"/>
          <w:szCs w:val="27"/>
        </w:rPr>
        <w:t>Teresa Maria Sena Ferreira de Sousa</w:t>
      </w:r>
      <w:r>
        <w:rPr>
          <w:rFonts w:ascii="Arial" w:hAnsi="Arial" w:cs="Arial"/>
          <w:color w:val="000000"/>
          <w:sz w:val="27"/>
          <w:szCs w:val="27"/>
        </w:rPr>
        <w:t> (relatora) – </w:t>
      </w:r>
      <w:r>
        <w:rPr>
          <w:rFonts w:ascii="Arial" w:hAnsi="Arial" w:cs="Arial"/>
          <w:i/>
          <w:iCs/>
          <w:color w:val="000000"/>
          <w:sz w:val="27"/>
          <w:szCs w:val="27"/>
        </w:rPr>
        <w:t>Vítor Manuel Gonçalves Gomes</w:t>
      </w:r>
      <w:r>
        <w:rPr>
          <w:rFonts w:ascii="Arial" w:hAnsi="Arial" w:cs="Arial"/>
          <w:color w:val="000000"/>
          <w:sz w:val="27"/>
          <w:szCs w:val="27"/>
        </w:rPr>
        <w:t> – </w:t>
      </w:r>
      <w:r>
        <w:rPr>
          <w:rFonts w:ascii="Arial" w:hAnsi="Arial" w:cs="Arial"/>
          <w:i/>
          <w:iCs/>
          <w:color w:val="000000"/>
          <w:sz w:val="27"/>
          <w:szCs w:val="27"/>
        </w:rPr>
        <w:t>Alberto Acácio de Sá Costa Reis – Jorge Artur Madeira dos Santos – António Bento São Pedro – Carlos Luís Medeiros de Carvalho – José Augusto Araújo Veloso – José Francisco Fonseca da Paz – Maria Benedita Malaquias Pires Urbano – Ana Paula Soares Leite Martins Portela.</w:t>
      </w:r>
    </w:p>
    <w:p w:rsidR="00092658" w:rsidRDefault="00092658" w:rsidP="00092658">
      <w:pPr>
        <w:jc w:val="both"/>
        <w:rPr>
          <w:rFonts w:ascii="Arial" w:hAnsi="Arial" w:cs="Arial"/>
          <w:i/>
          <w:iCs/>
          <w:color w:val="000000"/>
          <w:sz w:val="27"/>
          <w:szCs w:val="27"/>
        </w:rPr>
      </w:pPr>
    </w:p>
    <w:p w:rsidR="00092658" w:rsidRPr="00092658" w:rsidRDefault="00092658" w:rsidP="00092658">
      <w:pPr>
        <w:jc w:val="both"/>
      </w:pPr>
      <w:bookmarkStart w:id="0" w:name="_GoBack"/>
      <w:bookmarkEnd w:id="0"/>
    </w:p>
    <w:sectPr w:rsidR="00092658" w:rsidRPr="00092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58"/>
    <w:rsid w:val="00092658"/>
    <w:rsid w:val="0042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12155</Characters>
  <Application>Microsoft Office Word</Application>
  <DocSecurity>0</DocSecurity>
  <Lines>101</Lines>
  <Paragraphs>28</Paragraphs>
  <ScaleCrop>false</ScaleCrop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Papageorgopoulos</dc:creator>
  <cp:lastModifiedBy>Stavros Papageorgopoulos</cp:lastModifiedBy>
  <cp:revision>1</cp:revision>
  <dcterms:created xsi:type="dcterms:W3CDTF">2019-06-26T10:41:00Z</dcterms:created>
  <dcterms:modified xsi:type="dcterms:W3CDTF">2019-06-26T10:42:00Z</dcterms:modified>
</cp:coreProperties>
</file>