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
        <w:gridCol w:w="2272"/>
        <w:gridCol w:w="3116"/>
        <w:gridCol w:w="3654"/>
      </w:tblGrid>
      <w:tr w:rsidR="00996C36" w:rsidTr="00CC0C40">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bookmarkEnd w:id="0"/>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C248A6" w:rsidRDefault="00C248A6" w:rsidP="00C248A6">
            <w:pPr>
              <w:snapToGrid w:val="0"/>
              <w:spacing w:after="0" w:line="100" w:lineRule="atLeast"/>
              <w:rPr>
                <w:rFonts w:cs="Calibri"/>
                <w:b/>
              </w:rPr>
            </w:pPr>
            <w:proofErr w:type="spellStart"/>
            <w:r>
              <w:rPr>
                <w:rFonts w:cs="Calibri"/>
                <w:b/>
              </w:rPr>
              <w:t>Family</w:t>
            </w:r>
            <w:proofErr w:type="spellEnd"/>
            <w:r>
              <w:rPr>
                <w:rFonts w:cs="Calibri"/>
                <w:b/>
              </w:rPr>
              <w:t xml:space="preserve"> </w:t>
            </w:r>
            <w:proofErr w:type="spellStart"/>
            <w:r>
              <w:rPr>
                <w:rFonts w:cs="Calibri"/>
                <w:b/>
              </w:rPr>
              <w:t>unity</w:t>
            </w:r>
            <w:proofErr w:type="spellEnd"/>
            <w:r>
              <w:rPr>
                <w:rFonts w:cs="Calibri"/>
                <w:b/>
              </w:rPr>
              <w:t xml:space="preserve"> / </w:t>
            </w:r>
            <w:proofErr w:type="spellStart"/>
            <w:r>
              <w:rPr>
                <w:rFonts w:cs="Calibri"/>
                <w:b/>
              </w:rPr>
              <w:t>Family</w:t>
            </w:r>
            <w:proofErr w:type="spellEnd"/>
            <w:r>
              <w:rPr>
                <w:rFonts w:cs="Calibri"/>
                <w:b/>
              </w:rPr>
              <w:t xml:space="preserve"> </w:t>
            </w:r>
            <w:proofErr w:type="spellStart"/>
            <w:r>
              <w:rPr>
                <w:rFonts w:cs="Calibri"/>
                <w:b/>
              </w:rPr>
              <w:t>definition</w:t>
            </w:r>
            <w:proofErr w:type="spellEnd"/>
          </w:p>
          <w:p w:rsidR="00C248A6" w:rsidRDefault="00C248A6" w:rsidP="00C248A6">
            <w:pPr>
              <w:spacing w:after="0" w:line="100" w:lineRule="atLeast"/>
              <w:rPr>
                <w:rFonts w:cs="Calibri"/>
                <w:b/>
              </w:rPr>
            </w:pPr>
            <w:r>
              <w:rPr>
                <w:rFonts w:cs="Calibri"/>
                <w:b/>
              </w:rPr>
              <w:t>Visa</w:t>
            </w:r>
          </w:p>
          <w:p w:rsidR="00C248A6" w:rsidRDefault="00C248A6" w:rsidP="00C248A6">
            <w:pPr>
              <w:spacing w:after="0" w:line="100" w:lineRule="atLeast"/>
              <w:rPr>
                <w:rFonts w:cs="Calibri"/>
                <w:b/>
              </w:rPr>
            </w:pPr>
            <w:proofErr w:type="spellStart"/>
            <w:r>
              <w:rPr>
                <w:rFonts w:cs="Calibri"/>
                <w:b/>
              </w:rPr>
              <w:t>Vulnerable</w:t>
            </w:r>
            <w:proofErr w:type="spellEnd"/>
            <w:r>
              <w:rPr>
                <w:rFonts w:cs="Calibri"/>
                <w:b/>
              </w:rPr>
              <w:t xml:space="preserve"> </w:t>
            </w:r>
            <w:proofErr w:type="spellStart"/>
            <w:r>
              <w:rPr>
                <w:rFonts w:cs="Calibri"/>
                <w:b/>
              </w:rPr>
              <w:t>persons</w:t>
            </w:r>
            <w:proofErr w:type="spellEnd"/>
          </w:p>
          <w:p w:rsidR="00996C36" w:rsidRDefault="00C248A6" w:rsidP="00C248A6">
            <w:pPr>
              <w:spacing w:after="0" w:line="240" w:lineRule="auto"/>
              <w:rPr>
                <w:rFonts w:cs="Calibri"/>
                <w:b/>
              </w:rPr>
            </w:pPr>
            <w:proofErr w:type="spellStart"/>
            <w:r>
              <w:rPr>
                <w:rFonts w:cs="Calibri"/>
                <w:b/>
              </w:rPr>
              <w:t>Medical</w:t>
            </w:r>
            <w:proofErr w:type="spellEnd"/>
            <w:r>
              <w:rPr>
                <w:rFonts w:cs="Calibri"/>
                <w:b/>
              </w:rPr>
              <w:t xml:space="preserve"> issues</w:t>
            </w:r>
          </w:p>
        </w:tc>
      </w:tr>
      <w:tr w:rsidR="00996C36" w:rsidTr="00CC0C4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CC0C4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C248A6">
            <w:pPr>
              <w:spacing w:after="0" w:line="240" w:lineRule="auto"/>
              <w:rPr>
                <w:rFonts w:cs="Calibri"/>
                <w:b/>
                <w:lang w:val="en-US"/>
              </w:rPr>
            </w:pPr>
            <w:r>
              <w:rPr>
                <w:rFonts w:cs="Calibri"/>
                <w:b/>
                <w:lang w:val="en-US"/>
              </w:rPr>
              <w:t>Poland / Czech Republic</w:t>
            </w:r>
          </w:p>
        </w:tc>
      </w:tr>
      <w:tr w:rsidR="00996C36" w:rsidTr="00CC0C4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CC0C4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248A6">
            <w:pPr>
              <w:spacing w:after="0" w:line="240" w:lineRule="auto"/>
              <w:rPr>
                <w:rFonts w:cs="Calibri"/>
                <w:b/>
                <w:lang w:val="nl-NL"/>
              </w:rPr>
            </w:pPr>
            <w:r>
              <w:rPr>
                <w:rFonts w:cs="Calibri"/>
                <w:b/>
                <w:lang w:val="nl-NL"/>
              </w:rPr>
              <w:t>Asylum Court</w:t>
            </w:r>
          </w:p>
        </w:tc>
      </w:tr>
      <w:tr w:rsidR="00996C36" w:rsidTr="00CC0C4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248A6" w:rsidP="00CC0C40">
            <w:pPr>
              <w:spacing w:after="0" w:line="240" w:lineRule="auto"/>
              <w:rPr>
                <w:rFonts w:cs="Calibri"/>
                <w:b/>
                <w:lang w:val="en-GB"/>
              </w:rPr>
            </w:pPr>
            <w:r>
              <w:rPr>
                <w:rFonts w:cs="Calibri"/>
                <w:b/>
                <w:lang w:val="en-GB"/>
              </w:rPr>
              <w:t>S11 408.911-1/2009/3E</w:t>
            </w:r>
            <w:r w:rsidR="00121705">
              <w:rPr>
                <w:rFonts w:cs="Calibri"/>
                <w:b/>
                <w:lang w:val="en-GB"/>
              </w:rPr>
              <w:br/>
            </w:r>
            <w:r w:rsidR="00121705" w:rsidRPr="00121705">
              <w:rPr>
                <w:rFonts w:cs="Calibri"/>
                <w:lang w:val="en-US"/>
              </w:rPr>
              <w:t>http://www.ris.bka.gv.at/Dokument.wxe?Abfrage=AsylGH&amp;Dokumentnummer=ASYLGHT_20091113_S11_408_911_1_2009_00</w:t>
            </w:r>
          </w:p>
        </w:tc>
      </w:tr>
      <w:tr w:rsidR="00996C36" w:rsidRPr="00996C36" w:rsidTr="00CC0C4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248A6">
            <w:pPr>
              <w:spacing w:after="0" w:line="240" w:lineRule="auto"/>
              <w:rPr>
                <w:rFonts w:cs="Calibri"/>
                <w:b/>
                <w:lang w:val="en-US"/>
              </w:rPr>
            </w:pPr>
            <w:r>
              <w:rPr>
                <w:rFonts w:cs="Calibri"/>
                <w:b/>
                <w:lang w:val="en-US"/>
              </w:rPr>
              <w:t>13.11.2009</w:t>
            </w:r>
          </w:p>
        </w:tc>
      </w:tr>
      <w:tr w:rsidR="00996C36" w:rsidTr="00CC0C4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248A6">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Pr>
                <w:rFonts w:cs="Calibri"/>
                <w:bCs/>
              </w:rPr>
              <w:t xml:space="preserve"> (</w:t>
            </w:r>
            <w:proofErr w:type="spellStart"/>
            <w:r>
              <w:rPr>
                <w:rFonts w:cs="Calibri"/>
                <w:bCs/>
              </w:rPr>
              <w:t>Chechnya</w:t>
            </w:r>
            <w:proofErr w:type="spellEnd"/>
            <w:r>
              <w:rPr>
                <w:rFonts w:cs="Calibri"/>
                <w:bCs/>
              </w:rPr>
              <w:t>)</w:t>
            </w:r>
          </w:p>
        </w:tc>
      </w:tr>
      <w:tr w:rsidR="00996C36" w:rsidTr="00CC0C4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CC0C40">
        <w:trPr>
          <w:trHeight w:val="385"/>
        </w:trPr>
        <w:tc>
          <w:tcPr>
            <w:tcW w:w="422"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C248A6" w:rsidRPr="00C01399" w:rsidRDefault="00C248A6" w:rsidP="00C248A6">
            <w:pPr>
              <w:snapToGrid w:val="0"/>
              <w:spacing w:after="0" w:line="100" w:lineRule="atLeast"/>
              <w:jc w:val="both"/>
              <w:rPr>
                <w:rFonts w:cs="Calibri"/>
                <w:b/>
                <w:lang w:val="nl-NL"/>
              </w:rPr>
            </w:pPr>
            <w:r w:rsidRPr="00C01399">
              <w:rPr>
                <w:rFonts w:cs="Calibri"/>
                <w:b/>
                <w:lang w:val="nl-NL"/>
              </w:rPr>
              <w:t>The first applicant entered Austria on 12.05.2009. He said he had entered Poland in October 2008, but then spent the time from November 2008 to April 2009 in Ukraine, where he met his wife and children, who came from Chechnya to Ukraine. They then entered Austria together illegally on a truck.</w:t>
            </w:r>
          </w:p>
          <w:p w:rsidR="00C248A6" w:rsidRPr="00C01399" w:rsidRDefault="00C248A6" w:rsidP="00C248A6">
            <w:pPr>
              <w:spacing w:after="0" w:line="100" w:lineRule="atLeast"/>
              <w:jc w:val="both"/>
              <w:rPr>
                <w:rFonts w:cs="Calibri"/>
                <w:b/>
                <w:lang w:val="nl-NL"/>
              </w:rPr>
            </w:pPr>
            <w:r w:rsidRPr="00C01399">
              <w:rPr>
                <w:rFonts w:cs="Calibri"/>
                <w:b/>
                <w:lang w:val="nl-NL"/>
              </w:rPr>
              <w:t>Regarding the first applicant, Austria consulted Poland, which agreed to take him back. Regarding the second applicant and the children, Austria consulted Poland, Slovakia and the Czech Republic. The Czech Republic agreed to take them back because they had a visa for the Czech Republic until 01.05.2009, which the applicant denied to have. Poland disagreed to take the second applicant and her children too, because the first applicant had no</w:t>
            </w:r>
            <w:r w:rsidRPr="00C01399">
              <w:rPr>
                <w:rFonts w:cs="Calibri"/>
                <w:b/>
                <w:lang w:val="en-US"/>
              </w:rPr>
              <w:t>t</w:t>
            </w:r>
            <w:r w:rsidRPr="00C01399">
              <w:rPr>
                <w:rFonts w:cs="Calibri"/>
                <w:b/>
                <w:lang w:val="nl-NL"/>
              </w:rPr>
              <w:t xml:space="preserve"> mentioned them when he initially entered Poland.</w:t>
            </w:r>
          </w:p>
          <w:p w:rsidR="00C248A6" w:rsidRPr="00C01399" w:rsidRDefault="00C248A6" w:rsidP="00C248A6">
            <w:pPr>
              <w:spacing w:after="0" w:line="100" w:lineRule="atLeast"/>
              <w:jc w:val="both"/>
              <w:rPr>
                <w:rFonts w:cs="Calibri"/>
                <w:b/>
                <w:lang w:val="nl-NL"/>
              </w:rPr>
            </w:pPr>
            <w:r w:rsidRPr="00C01399">
              <w:rPr>
                <w:rFonts w:cs="Calibri"/>
                <w:b/>
                <w:lang w:val="nl-NL"/>
              </w:rPr>
              <w:t>Additionally, the couple's two year old daughter is severely handicapped, both mentally and physically.</w:t>
            </w:r>
          </w:p>
          <w:p w:rsidR="00C248A6" w:rsidRPr="00C01399" w:rsidRDefault="00C248A6" w:rsidP="00C248A6">
            <w:pPr>
              <w:spacing w:after="0" w:line="100" w:lineRule="atLeast"/>
              <w:jc w:val="both"/>
              <w:rPr>
                <w:rFonts w:cs="Calibri"/>
                <w:b/>
                <w:lang w:val="nl-NL"/>
              </w:rPr>
            </w:pPr>
            <w:r w:rsidRPr="00C01399">
              <w:rPr>
                <w:rFonts w:cs="Calibri"/>
                <w:b/>
                <w:lang w:val="nl-NL"/>
              </w:rPr>
              <w:t xml:space="preserve">The Austrian Federal Asylum </w:t>
            </w:r>
            <w:r w:rsidRPr="00C01399">
              <w:rPr>
                <w:rFonts w:cs="Calibri"/>
                <w:b/>
                <w:lang w:val="en-US"/>
              </w:rPr>
              <w:t>O</w:t>
            </w:r>
            <w:r w:rsidRPr="00C01399">
              <w:rPr>
                <w:rFonts w:cs="Calibri"/>
                <w:b/>
                <w:lang w:val="nl-NL"/>
              </w:rPr>
              <w:t xml:space="preserve">ffice rejected their application and issued an expulsion order to Poland for the first applicant, </w:t>
            </w:r>
            <w:r w:rsidRPr="00C01399">
              <w:rPr>
                <w:rFonts w:cs="Calibri"/>
                <w:b/>
                <w:lang w:val="en-US"/>
              </w:rPr>
              <w:t>while</w:t>
            </w:r>
            <w:r w:rsidRPr="00C01399">
              <w:rPr>
                <w:rFonts w:cs="Calibri"/>
                <w:b/>
                <w:lang w:val="nl-NL"/>
              </w:rPr>
              <w:t xml:space="preserve"> the second applicant and their two children received an expulsion order to the Czech Republic. It was argued, that neither the claim that they were a family, nor the account of their journey to Austria were credible. The separation of the family was therefore in accordance with Art 8 ECHR as they could try to reunify the family from Poland and the Czech Republic due to Art 15 Dublin II regulation or maintain their family life through visits.</w:t>
            </w:r>
          </w:p>
          <w:p w:rsidR="00996C36" w:rsidRDefault="00C248A6">
            <w:pPr>
              <w:spacing w:after="0" w:line="240" w:lineRule="auto"/>
              <w:rPr>
                <w:rFonts w:cs="Calibri"/>
                <w:b/>
                <w:lang w:val="nl-NL"/>
              </w:rPr>
            </w:pPr>
            <w:r w:rsidRPr="00C01399">
              <w:rPr>
                <w:rFonts w:cs="Calibri"/>
                <w:b/>
                <w:lang w:val="nl-NL"/>
              </w:rPr>
              <w:t>The applicants appealed against these desicions to the Asylum Court.</w:t>
            </w:r>
          </w:p>
        </w:tc>
      </w:tr>
      <w:tr w:rsidR="00996C36" w:rsidTr="00CC0C40">
        <w:trPr>
          <w:trHeight w:val="385"/>
        </w:trPr>
        <w:tc>
          <w:tcPr>
            <w:tcW w:w="422"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rsidP="00CC0C40">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C248A6" w:rsidRPr="00C01399" w:rsidRDefault="00C248A6" w:rsidP="00C248A6">
            <w:pPr>
              <w:snapToGrid w:val="0"/>
              <w:spacing w:after="0" w:line="100" w:lineRule="atLeast"/>
              <w:jc w:val="both"/>
              <w:rPr>
                <w:rFonts w:cs="Calibri"/>
                <w:b/>
                <w:lang w:val="nl-NL"/>
              </w:rPr>
            </w:pPr>
            <w:r w:rsidRPr="00C01399">
              <w:rPr>
                <w:rFonts w:cs="Calibri"/>
                <w:b/>
                <w:lang w:val="nl-NL"/>
              </w:rPr>
              <w:t xml:space="preserve">The Asylum Court accepted the appeal and returned the case to the Federal Asylum </w:t>
            </w:r>
            <w:r w:rsidRPr="00C01399">
              <w:rPr>
                <w:rFonts w:cs="Calibri"/>
                <w:b/>
                <w:lang w:val="en-US"/>
              </w:rPr>
              <w:t>O</w:t>
            </w:r>
            <w:r w:rsidRPr="00C01399">
              <w:rPr>
                <w:rFonts w:cs="Calibri"/>
                <w:b/>
                <w:lang w:val="nl-NL"/>
              </w:rPr>
              <w:t>ffice for further research concerning which  member state was to be responsible for the whole family.</w:t>
            </w:r>
          </w:p>
          <w:p w:rsidR="00C248A6" w:rsidRPr="00C01399" w:rsidRDefault="00C248A6" w:rsidP="00C248A6">
            <w:pPr>
              <w:spacing w:after="0" w:line="100" w:lineRule="atLeast"/>
              <w:jc w:val="both"/>
              <w:rPr>
                <w:rFonts w:cs="Calibri"/>
                <w:b/>
                <w:lang w:val="nl-NL"/>
              </w:rPr>
            </w:pPr>
            <w:r w:rsidRPr="00C01399">
              <w:rPr>
                <w:rFonts w:cs="Calibri"/>
                <w:b/>
                <w:lang w:val="nl-NL"/>
              </w:rPr>
              <w:t xml:space="preserve">However, the consultations were led in an arbitrary way. On the one hand, the Federal Asylum office doubted the very existence of a family as such, while on the other hand the second applicant is often mentioned as the first applicant’s wife. The Federal Asylum Office </w:t>
            </w:r>
            <w:r w:rsidRPr="00C01399">
              <w:rPr>
                <w:rFonts w:cs="Calibri"/>
                <w:b/>
                <w:lang w:val="nl-NL"/>
              </w:rPr>
              <w:lastRenderedPageBreak/>
              <w:t>separated the family by ignoring § 34 Asylum Law concerning the state’s duty to have one procedure for the whole family. The procedure also violates the Dublin II regulation which highlights the necessity of maintaining a family's unity.</w:t>
            </w:r>
          </w:p>
          <w:p w:rsidR="00C248A6" w:rsidRPr="00C01399" w:rsidRDefault="00C248A6" w:rsidP="00C248A6">
            <w:pPr>
              <w:spacing w:after="0" w:line="100" w:lineRule="atLeast"/>
              <w:jc w:val="both"/>
              <w:rPr>
                <w:rFonts w:cs="Calibri"/>
                <w:b/>
                <w:lang w:val="nl-NL"/>
              </w:rPr>
            </w:pPr>
            <w:r w:rsidRPr="00C01399">
              <w:rPr>
                <w:rFonts w:cs="Calibri"/>
                <w:b/>
                <w:lang w:val="nl-NL"/>
              </w:rPr>
              <w:t xml:space="preserve">Although Poland agreed to take the first applicant back and the Czech Republic seems responsible for the second applicant, due to Art 9(4) Dublin II regulation, this does not indicate that the separation of the family is justified. </w:t>
            </w:r>
          </w:p>
          <w:p w:rsidR="00C248A6" w:rsidRPr="00C01399" w:rsidRDefault="00C248A6" w:rsidP="00C248A6">
            <w:pPr>
              <w:spacing w:after="0" w:line="100" w:lineRule="atLeast"/>
              <w:jc w:val="both"/>
              <w:rPr>
                <w:rFonts w:cs="Calibri"/>
                <w:b/>
                <w:lang w:val="nl-NL"/>
              </w:rPr>
            </w:pPr>
            <w:r w:rsidRPr="00C01399">
              <w:rPr>
                <w:rFonts w:cs="Calibri"/>
                <w:b/>
                <w:lang w:val="nl-NL"/>
              </w:rPr>
              <w:t>Concerning the request to the Czech Republic, the Asylum Court also pointed out that the request itself seemed to be arbitrary because the second claimant arrived in Austria on 12.05.2009, while the visa was invalid since 01.05.2009.</w:t>
            </w:r>
          </w:p>
          <w:p w:rsidR="00C248A6" w:rsidRPr="00C01399" w:rsidRDefault="00C248A6" w:rsidP="00C248A6">
            <w:pPr>
              <w:spacing w:after="0" w:line="100" w:lineRule="atLeast"/>
              <w:jc w:val="both"/>
              <w:rPr>
                <w:rFonts w:cs="Calibri"/>
                <w:b/>
                <w:lang w:val="nl-NL"/>
              </w:rPr>
            </w:pPr>
            <w:r w:rsidRPr="00C01399">
              <w:rPr>
                <w:rFonts w:cs="Calibri"/>
                <w:b/>
                <w:lang w:val="nl-NL"/>
              </w:rPr>
              <w:t>The separation of the family itself is a violation of Art 8 ECHR: the jurisprudence the Federal Asylum Office mentioned was not related to cases of families who were sent to different Dublin states. Mutual visits are not possible because in that case they would have to leave the responsible member state, which would be another violation of the Dublin Regulation.</w:t>
            </w:r>
          </w:p>
          <w:p w:rsidR="00996C36" w:rsidRDefault="00C248A6" w:rsidP="00CC0C40">
            <w:pPr>
              <w:spacing w:after="0" w:line="240" w:lineRule="auto"/>
              <w:jc w:val="both"/>
              <w:rPr>
                <w:rFonts w:cs="Calibri"/>
                <w:b/>
                <w:lang w:val="nl-NL"/>
              </w:rPr>
            </w:pPr>
            <w:r w:rsidRPr="00C01399">
              <w:rPr>
                <w:rFonts w:cs="Calibri"/>
                <w:b/>
                <w:lang w:val="nl-NL"/>
              </w:rPr>
              <w:t xml:space="preserve">The Federal Asylum Office's decision not to define the two applicants and their child as a family needs to be revised. Moreover, further investigations are necessary concerning the question which member state is to be responsible for the two applicants. Finally, regarding </w:t>
            </w:r>
            <w:r>
              <w:rPr>
                <w:rFonts w:cs="Calibri"/>
                <w:b/>
                <w:lang w:val="nl-NL"/>
              </w:rPr>
              <w:t>one</w:t>
            </w:r>
            <w:r w:rsidRPr="00C01399">
              <w:rPr>
                <w:rFonts w:cs="Calibri"/>
                <w:b/>
                <w:lang w:val="nl-NL"/>
              </w:rPr>
              <w:t xml:space="preserve"> daughter’s medical condition there will also have to be detailed research on whether it is in accordance with human rights to expel her.</w:t>
            </w:r>
          </w:p>
        </w:tc>
      </w:tr>
      <w:tr w:rsidR="00996C36" w:rsidRPr="00996C36" w:rsidTr="00CC0C40">
        <w:trPr>
          <w:trHeight w:val="385"/>
        </w:trPr>
        <w:tc>
          <w:tcPr>
            <w:tcW w:w="422"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rsidP="00CC0C40">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CC0C40">
        <w:trPr>
          <w:trHeight w:val="325"/>
        </w:trPr>
        <w:tc>
          <w:tcPr>
            <w:tcW w:w="422"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C248A6">
            <w:pPr>
              <w:spacing w:after="0" w:line="240" w:lineRule="auto"/>
              <w:rPr>
                <w:rFonts w:cs="Calibri"/>
                <w:bCs/>
                <w:lang w:val="nl-NL"/>
              </w:rPr>
            </w:pPr>
            <w:r>
              <w:rPr>
                <w:rFonts w:cs="Calibri"/>
                <w:bCs/>
                <w:lang w:val="nl-NL"/>
              </w:rPr>
              <w:t>The appeals was accepted and returned to Federal Asylum Office.</w:t>
            </w:r>
          </w:p>
        </w:tc>
      </w:tr>
      <w:tr w:rsidR="00996C36" w:rsidTr="00CC0C40">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C248A6" w:rsidRPr="00C01399" w:rsidRDefault="00C248A6" w:rsidP="00C248A6">
            <w:pPr>
              <w:snapToGrid w:val="0"/>
              <w:spacing w:after="0" w:line="100" w:lineRule="atLeast"/>
              <w:jc w:val="both"/>
              <w:rPr>
                <w:rFonts w:cs="Calibri"/>
                <w:b/>
                <w:lang w:val="nl-NL"/>
              </w:rPr>
            </w:pPr>
            <w:r w:rsidRPr="00C01399">
              <w:rPr>
                <w:rFonts w:cs="Calibri"/>
                <w:b/>
                <w:lang w:val="nl-NL"/>
              </w:rPr>
              <w:t xml:space="preserve">After this decision there was a further </w:t>
            </w:r>
            <w:r w:rsidRPr="00C01399">
              <w:rPr>
                <w:rFonts w:cs="Calibri"/>
                <w:b/>
                <w:lang w:val="en-US"/>
              </w:rPr>
              <w:t>interview with the applicant</w:t>
            </w:r>
            <w:r w:rsidRPr="00C01399">
              <w:rPr>
                <w:rFonts w:cs="Calibri"/>
                <w:b/>
                <w:lang w:val="nl-NL"/>
              </w:rPr>
              <w:t xml:space="preserve"> during which the Federal Asylum Office claimed – due to contradictions in his initial statements – that the </w:t>
            </w:r>
            <w:r w:rsidRPr="00C01399">
              <w:rPr>
                <w:rFonts w:cs="Calibri"/>
                <w:b/>
                <w:lang w:val="en-US"/>
              </w:rPr>
              <w:t>he</w:t>
            </w:r>
            <w:r w:rsidRPr="00C01399">
              <w:rPr>
                <w:rFonts w:cs="Calibri"/>
                <w:b/>
                <w:lang w:val="nl-NL"/>
              </w:rPr>
              <w:t xml:space="preserve"> was not a part of the family. The Federal Asylum Office ordered them to </w:t>
            </w:r>
            <w:r w:rsidRPr="00C01399">
              <w:rPr>
                <w:rFonts w:cs="Calibri"/>
                <w:b/>
                <w:lang w:val="en-US"/>
              </w:rPr>
              <w:t>t</w:t>
            </w:r>
            <w:r w:rsidRPr="00C01399">
              <w:rPr>
                <w:rFonts w:cs="Calibri"/>
                <w:b/>
                <w:lang w:val="nl-NL"/>
              </w:rPr>
              <w:t>ake a DNA-test, which they would have to pay in advance themselves, but would get the money refunded in case the test was positive.</w:t>
            </w:r>
          </w:p>
          <w:p w:rsidR="00C248A6" w:rsidRPr="00C01399" w:rsidRDefault="00C248A6" w:rsidP="00C248A6">
            <w:pPr>
              <w:spacing w:after="0" w:line="100" w:lineRule="atLeast"/>
              <w:jc w:val="both"/>
              <w:rPr>
                <w:rFonts w:cs="Calibri"/>
                <w:b/>
                <w:lang w:val="nl-NL"/>
              </w:rPr>
            </w:pPr>
            <w:r w:rsidRPr="00C01399">
              <w:rPr>
                <w:rFonts w:cs="Calibri"/>
                <w:b/>
                <w:lang w:val="nl-NL"/>
              </w:rPr>
              <w:t xml:space="preserve">The applicants took the test but did not have the money to get the results in time. Their applications for asylum </w:t>
            </w:r>
            <w:r w:rsidRPr="00C01399">
              <w:rPr>
                <w:rFonts w:cs="Calibri"/>
                <w:b/>
                <w:lang w:val="en-US"/>
              </w:rPr>
              <w:t xml:space="preserve">in Austria </w:t>
            </w:r>
            <w:r w:rsidRPr="00C01399">
              <w:rPr>
                <w:rFonts w:cs="Calibri"/>
                <w:b/>
                <w:lang w:val="nl-NL"/>
              </w:rPr>
              <w:t xml:space="preserve">were therefore rejected once again. </w:t>
            </w:r>
            <w:r w:rsidRPr="00C01399">
              <w:rPr>
                <w:rFonts w:cs="Calibri"/>
                <w:b/>
                <w:lang w:val="en-US"/>
              </w:rPr>
              <w:t xml:space="preserve">Responsibility for the cases was transferred to the respective authorities in </w:t>
            </w:r>
            <w:r w:rsidRPr="00C01399">
              <w:rPr>
                <w:rFonts w:cs="Calibri"/>
                <w:b/>
                <w:lang w:val="nl-NL"/>
              </w:rPr>
              <w:t>Poland and the Czech Republic. The couple then appealed once again, but the Asylum Court did not give the application suspensive effect</w:t>
            </w:r>
            <w:r>
              <w:rPr>
                <w:rFonts w:cs="Calibri"/>
                <w:b/>
                <w:lang w:val="nl-NL"/>
              </w:rPr>
              <w:t>. The second applicant and the</w:t>
            </w:r>
            <w:r w:rsidRPr="00C01399">
              <w:rPr>
                <w:rFonts w:cs="Calibri"/>
                <w:b/>
                <w:lang w:val="nl-NL"/>
              </w:rPr>
              <w:t xml:space="preserve"> child</w:t>
            </w:r>
            <w:r>
              <w:rPr>
                <w:rFonts w:cs="Calibri"/>
                <w:b/>
                <w:lang w:val="nl-NL"/>
              </w:rPr>
              <w:t>ren</w:t>
            </w:r>
            <w:r w:rsidRPr="00C01399">
              <w:rPr>
                <w:rFonts w:cs="Calibri"/>
                <w:b/>
                <w:lang w:val="nl-NL"/>
              </w:rPr>
              <w:t xml:space="preserve"> were </w:t>
            </w:r>
            <w:r w:rsidRPr="00C01399">
              <w:rPr>
                <w:rFonts w:cs="Calibri"/>
                <w:b/>
                <w:lang w:val="en-US"/>
              </w:rPr>
              <w:t>accordingly</w:t>
            </w:r>
            <w:r w:rsidRPr="00C01399">
              <w:rPr>
                <w:rFonts w:cs="Calibri"/>
                <w:b/>
                <w:lang w:val="nl-NL"/>
              </w:rPr>
              <w:t xml:space="preserve"> deported to the Czech Republic. Finally, </w:t>
            </w:r>
            <w:r w:rsidRPr="00C01399">
              <w:rPr>
                <w:rFonts w:cs="Calibri"/>
                <w:b/>
                <w:lang w:val="en-US"/>
              </w:rPr>
              <w:t>however,</w:t>
            </w:r>
            <w:r w:rsidRPr="00C01399">
              <w:rPr>
                <w:rFonts w:cs="Calibri"/>
                <w:b/>
                <w:lang w:val="nl-NL"/>
              </w:rPr>
              <w:t xml:space="preserve"> they had the money to receive the results of the DNA-test – which was positive and afterwards immediately reported to the Asylum Court.</w:t>
            </w:r>
          </w:p>
          <w:p w:rsidR="00C248A6" w:rsidRPr="00C01399" w:rsidRDefault="00C248A6" w:rsidP="00C248A6">
            <w:pPr>
              <w:spacing w:after="0" w:line="100" w:lineRule="atLeast"/>
              <w:jc w:val="both"/>
              <w:rPr>
                <w:rFonts w:cs="Calibri"/>
                <w:b/>
                <w:lang w:val="nl-NL"/>
              </w:rPr>
            </w:pPr>
            <w:r w:rsidRPr="00C01399">
              <w:rPr>
                <w:rFonts w:cs="Calibri"/>
                <w:b/>
                <w:lang w:val="nl-NL"/>
              </w:rPr>
              <w:t xml:space="preserve">The Asylum Court gave the appeals suspensive effect, the second claimant and the children returned legally to Austria and the appeals were accepted. The Dublin procedure took 16 months total. After the last decision by the Asylum Court in August 2010 there were no further steps in the Dublin procedure </w:t>
            </w:r>
            <w:r>
              <w:rPr>
                <w:rFonts w:cs="Calibri"/>
                <w:b/>
                <w:lang w:val="nl-NL"/>
              </w:rPr>
              <w:t>by the Federal Asylum Office but a procedure in merits which ended with a negative decision. The family constested the decisions.</w:t>
            </w:r>
          </w:p>
          <w:p w:rsidR="00996C36" w:rsidRDefault="00C248A6" w:rsidP="00C248A6">
            <w:pPr>
              <w:spacing w:after="0" w:line="240" w:lineRule="auto"/>
              <w:jc w:val="both"/>
              <w:rPr>
                <w:rFonts w:cs="Calibri"/>
                <w:b/>
                <w:lang w:val="nl-NL"/>
              </w:rPr>
            </w:pPr>
            <w:r>
              <w:rPr>
                <w:rFonts w:cs="Calibri"/>
                <w:b/>
                <w:lang w:val="nl-NL"/>
              </w:rPr>
              <w:t>In the summer of 2012 they were finally recognised as refugees in Austria by the Asylum Court.</w:t>
            </w:r>
          </w:p>
        </w:tc>
      </w:tr>
      <w:tr w:rsidR="00996C36" w:rsidRPr="00996C36" w:rsidTr="00CC0C4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lastRenderedPageBreak/>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248A6">
            <w:pPr>
              <w:spacing w:after="0" w:line="240" w:lineRule="auto"/>
              <w:rPr>
                <w:rFonts w:cs="Calibri"/>
                <w:b/>
                <w:lang w:val="en-US"/>
              </w:rPr>
            </w:pPr>
            <w:r>
              <w:rPr>
                <w:rFonts w:cs="Calibri"/>
                <w:b/>
                <w:lang w:val="en-US"/>
              </w:rPr>
              <w:t>Art 9(4), Art 8</w:t>
            </w:r>
          </w:p>
        </w:tc>
      </w:tr>
      <w:tr w:rsidR="00996C36" w:rsidTr="00CC0C40">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1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65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CC0C4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single" w:sz="4" w:space="0" w:color="000000"/>
              <w:left w:val="single" w:sz="4" w:space="0" w:color="000000"/>
              <w:bottom w:val="dashed" w:sz="4" w:space="0" w:color="auto"/>
              <w:right w:val="dashed" w:sz="4" w:space="0" w:color="auto"/>
            </w:tcBorders>
          </w:tcPr>
          <w:p w:rsidR="00996C36" w:rsidRDefault="00C248A6">
            <w:pPr>
              <w:spacing w:after="0" w:line="240" w:lineRule="auto"/>
              <w:rPr>
                <w:rFonts w:cs="Calibri"/>
                <w:bCs/>
                <w:lang w:val="en-US"/>
              </w:rPr>
            </w:pPr>
            <w:r>
              <w:rPr>
                <w:rFonts w:cs="Calibri"/>
                <w:bCs/>
                <w:lang w:val="en-US"/>
              </w:rPr>
              <w:t>ECHR</w:t>
            </w:r>
          </w:p>
        </w:tc>
        <w:tc>
          <w:tcPr>
            <w:tcW w:w="3654" w:type="dxa"/>
            <w:tcBorders>
              <w:top w:val="single" w:sz="4" w:space="0" w:color="000000"/>
              <w:left w:val="dashed" w:sz="4" w:space="0" w:color="auto"/>
              <w:bottom w:val="dashed" w:sz="4" w:space="0" w:color="auto"/>
              <w:right w:val="single" w:sz="4" w:space="0" w:color="000000"/>
            </w:tcBorders>
          </w:tcPr>
          <w:p w:rsidR="00996C36" w:rsidRDefault="00C248A6">
            <w:pPr>
              <w:spacing w:after="0" w:line="240" w:lineRule="auto"/>
              <w:rPr>
                <w:rFonts w:cs="Calibri"/>
                <w:bCs/>
                <w:lang w:val="en-US"/>
              </w:rPr>
            </w:pPr>
            <w:r>
              <w:rPr>
                <w:rFonts w:cs="Calibri"/>
                <w:bCs/>
                <w:lang w:val="en-US"/>
              </w:rPr>
              <w:t>Art 8, Art 3</w:t>
            </w:r>
          </w:p>
        </w:tc>
      </w:tr>
      <w:tr w:rsidR="00996C36" w:rsidTr="00CC0C4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dashed" w:sz="4" w:space="0" w:color="auto"/>
              <w:left w:val="single" w:sz="4" w:space="0" w:color="000000"/>
              <w:bottom w:val="single" w:sz="4" w:space="0" w:color="000000"/>
              <w:right w:val="dashed" w:sz="4" w:space="0" w:color="auto"/>
            </w:tcBorders>
          </w:tcPr>
          <w:p w:rsidR="00996C36" w:rsidRDefault="00C248A6">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w:t>
            </w:r>
          </w:p>
        </w:tc>
        <w:tc>
          <w:tcPr>
            <w:tcW w:w="3654" w:type="dxa"/>
            <w:tcBorders>
              <w:top w:val="dashed" w:sz="4" w:space="0" w:color="auto"/>
              <w:left w:val="dashed" w:sz="4" w:space="0" w:color="auto"/>
              <w:bottom w:val="single" w:sz="4" w:space="0" w:color="000000"/>
              <w:right w:val="single" w:sz="4" w:space="0" w:color="000000"/>
            </w:tcBorders>
          </w:tcPr>
          <w:p w:rsidR="00996C36" w:rsidRDefault="00C248A6">
            <w:pPr>
              <w:spacing w:after="0" w:line="240" w:lineRule="auto"/>
              <w:rPr>
                <w:rFonts w:cs="Calibri"/>
                <w:bCs/>
                <w:lang w:val="en-US"/>
              </w:rPr>
            </w:pPr>
            <w:r>
              <w:rPr>
                <w:rFonts w:cs="Calibri"/>
                <w:bCs/>
                <w:lang w:val="en-US"/>
              </w:rPr>
              <w:t xml:space="preserve">§§ 5, 10; § 41(3); § 34 </w:t>
            </w:r>
            <w:proofErr w:type="spellStart"/>
            <w:r>
              <w:rPr>
                <w:rFonts w:cs="Calibri"/>
                <w:bCs/>
                <w:lang w:val="en-US"/>
              </w:rPr>
              <w:t>AsylG</w:t>
            </w:r>
            <w:proofErr w:type="spellEnd"/>
            <w:r>
              <w:rPr>
                <w:rFonts w:cs="Calibri"/>
                <w:bCs/>
                <w:lang w:val="en-US"/>
              </w:rPr>
              <w:t>; § 2 Z 22</w:t>
            </w:r>
          </w:p>
        </w:tc>
      </w:tr>
      <w:tr w:rsidR="00996C36" w:rsidTr="00CC0C40">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1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65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CC0C40">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54"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CC0C40">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5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CC0C40">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65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CC0C40">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16"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54"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CC0C40">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1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5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CC0C40">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C248A6" w:rsidRPr="00C01399" w:rsidRDefault="00C248A6" w:rsidP="00C248A6">
            <w:pPr>
              <w:snapToGrid w:val="0"/>
              <w:spacing w:after="0" w:line="100" w:lineRule="atLeast"/>
              <w:jc w:val="both"/>
              <w:rPr>
                <w:rFonts w:cs="Calibri"/>
                <w:b/>
                <w:lang w:val="nl-NL"/>
              </w:rPr>
            </w:pPr>
            <w:r w:rsidRPr="00C01399">
              <w:rPr>
                <w:rFonts w:cs="Calibri"/>
                <w:b/>
                <w:lang w:val="nl-NL"/>
              </w:rPr>
              <w:t xml:space="preserve">This particular Dublin procedure took all together 16 months and is a good example for the squandering of Austrian resources for a case that could have easily been resolved by immediate acceptance of responsibility for the asylum claims. </w:t>
            </w:r>
          </w:p>
          <w:p w:rsidR="00996C36" w:rsidRDefault="00C248A6" w:rsidP="00C248A6">
            <w:pPr>
              <w:spacing w:after="0" w:line="240" w:lineRule="auto"/>
              <w:jc w:val="both"/>
              <w:rPr>
                <w:rFonts w:cs="Calibri"/>
                <w:b/>
              </w:rPr>
            </w:pPr>
            <w:r w:rsidRPr="00C01399">
              <w:rPr>
                <w:rFonts w:cs="Calibri"/>
                <w:b/>
                <w:lang w:val="nl-NL"/>
              </w:rPr>
              <w:t>During the admission procedure, a total of 8 interviews was held, a DNA-test, which cost about € 1000.-, was requested, there were two appeals written, eight decisions by the Federal Asylum Office and eight by the Asylum Court as well (two for each family member). Ultimately, this led to very high costs and a lot of personal resources wasted until the procedure in merits started.</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21705"/>
    <w:rsid w:val="00132795"/>
    <w:rsid w:val="002F0DAC"/>
    <w:rsid w:val="004A0E3D"/>
    <w:rsid w:val="005125CA"/>
    <w:rsid w:val="006D0962"/>
    <w:rsid w:val="00785861"/>
    <w:rsid w:val="007A2FA2"/>
    <w:rsid w:val="007B31A6"/>
    <w:rsid w:val="0083197B"/>
    <w:rsid w:val="00996C36"/>
    <w:rsid w:val="00A52F7F"/>
    <w:rsid w:val="00C248A6"/>
    <w:rsid w:val="00C92783"/>
    <w:rsid w:val="00CC0C40"/>
    <w:rsid w:val="00E465F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C24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8A6"/>
    <w:rPr>
      <w:rFonts w:ascii="Tahoma" w:eastAsia="Calibri"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C24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8A6"/>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5824</Characters>
  <Application>Microsoft Macintosh Word</Application>
  <DocSecurity>0</DocSecurity>
  <Lines>48</Lines>
  <Paragraphs>13</Paragraphs>
  <ScaleCrop>false</ScaleCrop>
  <Company>TU Wien - Campusversion</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2013-08-13T15:06:00Z</dcterms:created>
  <dcterms:modified xsi:type="dcterms:W3CDTF">2013-08-13T15:06:00Z</dcterms:modified>
</cp:coreProperties>
</file>