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5"/>
        <w:gridCol w:w="2259"/>
        <w:gridCol w:w="2996"/>
        <w:gridCol w:w="3774"/>
      </w:tblGrid>
      <w:tr w:rsidR="00996C36" w:rsidTr="000660A0">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bookmarkStart w:id="0" w:name="_GoBack"/>
            <w:bookmarkEnd w:id="0"/>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DF5299" w:rsidRDefault="00DF5299" w:rsidP="00DF5299">
            <w:pPr>
              <w:snapToGrid w:val="0"/>
              <w:spacing w:after="0" w:line="100" w:lineRule="atLeast"/>
              <w:rPr>
                <w:rFonts w:cs="Calibri"/>
                <w:b/>
              </w:rPr>
            </w:pPr>
            <w:proofErr w:type="spellStart"/>
            <w:r>
              <w:rPr>
                <w:rFonts w:cs="Calibri"/>
                <w:b/>
              </w:rPr>
              <w:t>Eurodac</w:t>
            </w:r>
            <w:proofErr w:type="spellEnd"/>
          </w:p>
          <w:p w:rsidR="00DF5299" w:rsidRDefault="00DF5299" w:rsidP="00DF5299">
            <w:pPr>
              <w:spacing w:after="0" w:line="100" w:lineRule="atLeast"/>
              <w:rPr>
                <w:rFonts w:cs="Calibri"/>
                <w:b/>
              </w:rPr>
            </w:pPr>
            <w:r>
              <w:rPr>
                <w:rFonts w:cs="Calibri"/>
                <w:b/>
              </w:rPr>
              <w:t>Exchange of information</w:t>
            </w:r>
          </w:p>
          <w:p w:rsidR="00DF5299" w:rsidRDefault="00DF5299" w:rsidP="00DF5299">
            <w:pPr>
              <w:spacing w:after="0" w:line="100" w:lineRule="atLeast"/>
              <w:rPr>
                <w:rFonts w:cs="Calibri"/>
                <w:b/>
              </w:rPr>
            </w:pPr>
            <w:r>
              <w:rPr>
                <w:rFonts w:cs="Calibri"/>
                <w:b/>
              </w:rPr>
              <w:t xml:space="preserve">Proof / </w:t>
            </w:r>
            <w:proofErr w:type="spellStart"/>
            <w:r>
              <w:rPr>
                <w:rFonts w:cs="Calibri"/>
                <w:b/>
              </w:rPr>
              <w:t>evidence</w:t>
            </w:r>
            <w:proofErr w:type="spellEnd"/>
          </w:p>
          <w:p w:rsidR="00DF5299" w:rsidRDefault="00DF5299" w:rsidP="00DF5299">
            <w:pPr>
              <w:spacing w:after="0" w:line="100" w:lineRule="atLeast"/>
              <w:rPr>
                <w:rFonts w:cs="Calibri"/>
                <w:b/>
              </w:rPr>
            </w:pPr>
            <w:proofErr w:type="spellStart"/>
            <w:r>
              <w:rPr>
                <w:rFonts w:cs="Calibri"/>
                <w:b/>
              </w:rPr>
              <w:t>Reception</w:t>
            </w:r>
            <w:proofErr w:type="spellEnd"/>
            <w:r>
              <w:rPr>
                <w:rFonts w:cs="Calibri"/>
                <w:b/>
              </w:rPr>
              <w:t xml:space="preserve"> conditions in the </w:t>
            </w:r>
            <w:proofErr w:type="spellStart"/>
            <w:r>
              <w:rPr>
                <w:rFonts w:cs="Calibri"/>
                <w:b/>
              </w:rPr>
              <w:t>responsible</w:t>
            </w:r>
            <w:proofErr w:type="spellEnd"/>
            <w:r>
              <w:rPr>
                <w:rFonts w:cs="Calibri"/>
                <w:b/>
              </w:rPr>
              <w:t xml:space="preserve"> state</w:t>
            </w:r>
          </w:p>
          <w:p w:rsidR="00996C36" w:rsidRDefault="00DF5299" w:rsidP="00DF5299">
            <w:pPr>
              <w:spacing w:after="0" w:line="240" w:lineRule="auto"/>
              <w:rPr>
                <w:rFonts w:cs="Calibri"/>
                <w:b/>
              </w:rPr>
            </w:pPr>
            <w:proofErr w:type="spellStart"/>
            <w:r>
              <w:rPr>
                <w:rFonts w:cs="Calibri"/>
                <w:b/>
              </w:rPr>
              <w:t>Sovereignty</w:t>
            </w:r>
            <w:proofErr w:type="spellEnd"/>
            <w:r>
              <w:rPr>
                <w:rFonts w:cs="Calibri"/>
                <w:b/>
              </w:rPr>
              <w:t xml:space="preserve"> clause</w:t>
            </w:r>
          </w:p>
        </w:tc>
      </w:tr>
      <w:tr w:rsidR="00996C36" w:rsidTr="000660A0">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3197B">
            <w:pPr>
              <w:spacing w:after="0" w:line="240" w:lineRule="auto"/>
              <w:rPr>
                <w:rFonts w:cs="Calibri"/>
                <w:b/>
              </w:rPr>
            </w:pPr>
            <w:proofErr w:type="spellStart"/>
            <w:r>
              <w:rPr>
                <w:rFonts w:cs="Calibri"/>
                <w:b/>
              </w:rPr>
              <w:t>Austria</w:t>
            </w:r>
            <w:proofErr w:type="spellEnd"/>
          </w:p>
        </w:tc>
      </w:tr>
      <w:tr w:rsidR="00996C36" w:rsidRPr="00996C36" w:rsidTr="000660A0">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DF5299">
            <w:pPr>
              <w:spacing w:after="0" w:line="240" w:lineRule="auto"/>
              <w:rPr>
                <w:rFonts w:cs="Calibri"/>
                <w:b/>
                <w:lang w:val="en-US"/>
              </w:rPr>
            </w:pPr>
            <w:r>
              <w:rPr>
                <w:rFonts w:cs="Calibri"/>
                <w:b/>
                <w:lang w:val="en-US"/>
              </w:rPr>
              <w:t>Hungary</w:t>
            </w:r>
          </w:p>
        </w:tc>
      </w:tr>
      <w:tr w:rsidR="00996C36" w:rsidTr="000660A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0660A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AB7286">
            <w:pPr>
              <w:spacing w:after="0" w:line="240" w:lineRule="auto"/>
              <w:rPr>
                <w:rFonts w:cs="Calibri"/>
                <w:b/>
                <w:lang w:val="nl-NL"/>
              </w:rPr>
            </w:pPr>
            <w:r>
              <w:rPr>
                <w:rFonts w:cs="Calibri"/>
                <w:b/>
                <w:lang w:val="nl-NL"/>
              </w:rPr>
              <w:t>Asylum Court</w:t>
            </w:r>
          </w:p>
        </w:tc>
      </w:tr>
      <w:tr w:rsidR="00996C36" w:rsidTr="000660A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DF5299" w:rsidP="000660A0">
            <w:pPr>
              <w:spacing w:after="0" w:line="240" w:lineRule="auto"/>
              <w:rPr>
                <w:rFonts w:cs="Calibri"/>
                <w:b/>
                <w:lang w:val="en-GB"/>
              </w:rPr>
            </w:pPr>
            <w:r>
              <w:rPr>
                <w:rFonts w:cs="Calibri"/>
                <w:b/>
                <w:lang w:val="en-GB"/>
              </w:rPr>
              <w:t>S1 424.088-1/2012/2E</w:t>
            </w:r>
            <w:r w:rsidR="00D15CD2">
              <w:rPr>
                <w:rFonts w:cs="Calibri"/>
                <w:b/>
                <w:lang w:val="en-GB"/>
              </w:rPr>
              <w:br/>
            </w:r>
            <w:r w:rsidR="00D15CD2" w:rsidRPr="00D15CD2">
              <w:rPr>
                <w:rFonts w:cs="Calibri"/>
                <w:lang w:val="en-US"/>
              </w:rPr>
              <w:t>http://www.ris.bka.gv.at/Dokument.wxe?Abfrage=AsylGH&amp;Dokumentnummer=ASYLGHT_20120203_S1_424_088_1_2012_00</w:t>
            </w:r>
          </w:p>
        </w:tc>
      </w:tr>
      <w:tr w:rsidR="00996C36" w:rsidRPr="00996C36" w:rsidTr="000660A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DF5299">
            <w:pPr>
              <w:spacing w:after="0" w:line="240" w:lineRule="auto"/>
              <w:rPr>
                <w:rFonts w:cs="Calibri"/>
                <w:b/>
                <w:lang w:val="en-US"/>
              </w:rPr>
            </w:pPr>
            <w:r>
              <w:rPr>
                <w:rFonts w:cs="Calibri"/>
                <w:b/>
                <w:lang w:val="en-US"/>
              </w:rPr>
              <w:t>03.02.2012</w:t>
            </w:r>
          </w:p>
        </w:tc>
      </w:tr>
      <w:tr w:rsidR="00996C36" w:rsidTr="000660A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DF5299">
            <w:pPr>
              <w:spacing w:after="0" w:line="240" w:lineRule="auto"/>
              <w:rPr>
                <w:rFonts w:cs="Calibri"/>
                <w:bCs/>
              </w:rPr>
            </w:pPr>
            <w:proofErr w:type="spellStart"/>
            <w:r>
              <w:rPr>
                <w:rFonts w:cs="Calibri"/>
                <w:bCs/>
              </w:rPr>
              <w:t>India</w:t>
            </w:r>
            <w:proofErr w:type="spellEnd"/>
          </w:p>
        </w:tc>
      </w:tr>
      <w:tr w:rsidR="00996C36" w:rsidTr="000660A0">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DF5299" w:rsidTr="000660A0">
        <w:trPr>
          <w:trHeight w:val="385"/>
        </w:trPr>
        <w:tc>
          <w:tcPr>
            <w:tcW w:w="435" w:type="dxa"/>
            <w:tcBorders>
              <w:top w:val="single" w:sz="4" w:space="0" w:color="auto"/>
              <w:left w:val="single" w:sz="4" w:space="0" w:color="000000"/>
              <w:bottom w:val="single" w:sz="4" w:space="0" w:color="auto"/>
              <w:right w:val="single" w:sz="4" w:space="0" w:color="000000"/>
            </w:tcBorders>
          </w:tcPr>
          <w:p w:rsidR="00DF5299" w:rsidRDefault="00DF5299">
            <w:pPr>
              <w:spacing w:after="0" w:line="240" w:lineRule="auto"/>
              <w:rPr>
                <w:rFonts w:cs="Calibri"/>
              </w:rPr>
            </w:pPr>
          </w:p>
        </w:tc>
        <w:tc>
          <w:tcPr>
            <w:tcW w:w="2259" w:type="dxa"/>
            <w:tcBorders>
              <w:top w:val="single" w:sz="4" w:space="0" w:color="auto"/>
              <w:left w:val="single" w:sz="4" w:space="0" w:color="000000"/>
              <w:bottom w:val="single" w:sz="4" w:space="0" w:color="auto"/>
              <w:right w:val="single" w:sz="4" w:space="0" w:color="000000"/>
            </w:tcBorders>
            <w:hideMark/>
          </w:tcPr>
          <w:p w:rsidR="00DF5299" w:rsidRDefault="00DF5299">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DF5299" w:rsidRPr="009E3742" w:rsidRDefault="00DF5299" w:rsidP="000D680C">
            <w:pPr>
              <w:snapToGrid w:val="0"/>
              <w:spacing w:after="0" w:line="100" w:lineRule="atLeast"/>
              <w:jc w:val="both"/>
              <w:rPr>
                <w:rFonts w:cs="Calibri"/>
                <w:b/>
                <w:lang w:val="nl-NL"/>
              </w:rPr>
            </w:pPr>
            <w:r w:rsidRPr="009E3742">
              <w:rPr>
                <w:rFonts w:cs="Calibri"/>
                <w:b/>
                <w:lang w:val="nl-NL"/>
              </w:rPr>
              <w:t xml:space="preserve">The applicant initially entered the European Union in Greece in July 2011 where he applied for asylum. He stayed there for one month but then left Greece because he did not see any chance of receiving the  status of a refugee there. </w:t>
            </w:r>
          </w:p>
          <w:p w:rsidR="00DF5299" w:rsidRPr="009E3742" w:rsidRDefault="00DF5299" w:rsidP="000D680C">
            <w:pPr>
              <w:spacing w:after="0" w:line="100" w:lineRule="atLeast"/>
              <w:jc w:val="both"/>
              <w:rPr>
                <w:rFonts w:cs="Calibri"/>
                <w:b/>
                <w:lang w:val="nl-NL"/>
              </w:rPr>
            </w:pPr>
            <w:r w:rsidRPr="009E3742">
              <w:rPr>
                <w:rFonts w:cs="Calibri"/>
                <w:b/>
                <w:lang w:val="nl-NL"/>
              </w:rPr>
              <w:t xml:space="preserve">Late in September 2011 he left Greece, passed through Macedonia, crossed Serbia and arrived in Hungary at the beginning of November for the first time. Hungary immediately deported him back to Serbia. </w:t>
            </w:r>
          </w:p>
          <w:p w:rsidR="00DF5299" w:rsidRPr="009E3742" w:rsidRDefault="00DF5299" w:rsidP="000D680C">
            <w:pPr>
              <w:spacing w:after="0" w:line="100" w:lineRule="atLeast"/>
              <w:jc w:val="both"/>
              <w:rPr>
                <w:rFonts w:cs="Calibri"/>
                <w:b/>
                <w:lang w:val="nl-NL"/>
              </w:rPr>
            </w:pPr>
            <w:r w:rsidRPr="009E3742">
              <w:rPr>
                <w:rFonts w:cs="Calibri"/>
                <w:b/>
                <w:lang w:val="nl-NL"/>
              </w:rPr>
              <w:t>The next day he entered Hungary once again, was not caught by Hungarian police this time, crossed Hungary and finally arrived in Austria, where he applied for asylum. His fingerprints had not yet been stored in the Eurodac-system.</w:t>
            </w:r>
          </w:p>
          <w:p w:rsidR="00DF5299" w:rsidRPr="009E3742" w:rsidRDefault="00DF5299" w:rsidP="000D680C">
            <w:pPr>
              <w:spacing w:after="0" w:line="100" w:lineRule="atLeast"/>
              <w:jc w:val="both"/>
              <w:rPr>
                <w:rFonts w:cs="Calibri"/>
                <w:b/>
                <w:lang w:val="nl-NL"/>
              </w:rPr>
            </w:pPr>
            <w:r w:rsidRPr="009E3742">
              <w:rPr>
                <w:rFonts w:cs="Calibri"/>
                <w:b/>
                <w:lang w:val="nl-NL"/>
              </w:rPr>
              <w:t>The Federal Asylum Office held consultations with Hungary based on Art 10 of the Dublin II regulation. The Federal Asylum Office explained to the Hungarian Dublin authorities that the applicant had passed Greece and Hungary but did not inform Hungarian authorities that he applied for asylum in Greece. Hungary agreed to take him back.</w:t>
            </w:r>
          </w:p>
          <w:p w:rsidR="00DF5299" w:rsidRPr="009E3742" w:rsidRDefault="00DF5299" w:rsidP="000D680C">
            <w:pPr>
              <w:spacing w:after="0" w:line="100" w:lineRule="atLeast"/>
              <w:jc w:val="both"/>
              <w:rPr>
                <w:rFonts w:cs="Calibri"/>
                <w:b/>
                <w:lang w:val="nl-NL"/>
              </w:rPr>
            </w:pPr>
            <w:r w:rsidRPr="009E3742">
              <w:rPr>
                <w:rFonts w:cs="Calibri"/>
                <w:b/>
                <w:lang w:val="nl-NL"/>
              </w:rPr>
              <w:t>In his interview at the Federal Asylum Office, the applicant repeated that he had applied for asylum in Greece. The Federal Asylum Office rejected his application and issued an expulsion order to Hungary. The applicant appealed against this decision, pointing out that Hungary was not responsible for his case, but Greece was. As it is against Art 3 ECHR to transfer a person to Greece, Austria would have to use the sovereignty clause and admit him to the procedure in merits in Austria.</w:t>
            </w:r>
          </w:p>
        </w:tc>
      </w:tr>
      <w:tr w:rsidR="00DF5299" w:rsidTr="000660A0">
        <w:trPr>
          <w:trHeight w:val="385"/>
        </w:trPr>
        <w:tc>
          <w:tcPr>
            <w:tcW w:w="435" w:type="dxa"/>
            <w:tcBorders>
              <w:top w:val="single" w:sz="4" w:space="0" w:color="auto"/>
              <w:left w:val="single" w:sz="4" w:space="0" w:color="000000"/>
              <w:bottom w:val="single" w:sz="4" w:space="0" w:color="auto"/>
              <w:right w:val="single" w:sz="4" w:space="0" w:color="000000"/>
            </w:tcBorders>
            <w:hideMark/>
          </w:tcPr>
          <w:p w:rsidR="00DF5299" w:rsidRDefault="00DF5299">
            <w:pPr>
              <w:spacing w:after="0" w:line="240" w:lineRule="auto"/>
              <w:rPr>
                <w:rFonts w:cs="Calibri"/>
                <w:lang w:val="nl-NL"/>
              </w:rPr>
            </w:pPr>
            <w:r>
              <w:rPr>
                <w:rFonts w:cs="Calibri"/>
                <w:b/>
                <w:lang w:val="nl-NL"/>
              </w:rPr>
              <w:t xml:space="preserve">        </w:t>
            </w:r>
          </w:p>
        </w:tc>
        <w:tc>
          <w:tcPr>
            <w:tcW w:w="2259" w:type="dxa"/>
            <w:tcBorders>
              <w:top w:val="single" w:sz="4" w:space="0" w:color="auto"/>
              <w:left w:val="single" w:sz="4" w:space="0" w:color="000000"/>
              <w:bottom w:val="single" w:sz="4" w:space="0" w:color="auto"/>
              <w:right w:val="single" w:sz="4" w:space="0" w:color="000000"/>
            </w:tcBorders>
            <w:hideMark/>
          </w:tcPr>
          <w:p w:rsidR="00DF5299" w:rsidRDefault="00DF5299" w:rsidP="000660A0">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DF5299" w:rsidRPr="009E3742" w:rsidRDefault="00DF5299" w:rsidP="00DF5299">
            <w:pPr>
              <w:snapToGrid w:val="0"/>
              <w:spacing w:after="0" w:line="100" w:lineRule="atLeast"/>
              <w:jc w:val="both"/>
              <w:rPr>
                <w:rFonts w:cs="Calibri"/>
                <w:b/>
                <w:lang w:val="nl-NL"/>
              </w:rPr>
            </w:pPr>
            <w:r w:rsidRPr="009E3742">
              <w:rPr>
                <w:rFonts w:cs="Calibri"/>
                <w:b/>
                <w:lang w:val="nl-NL"/>
              </w:rPr>
              <w:t>The Asylum Court accepted the appeal and returned the case to the Federal Asylum Office.</w:t>
            </w:r>
          </w:p>
          <w:p w:rsidR="00DF5299" w:rsidRPr="009E3742" w:rsidRDefault="00DF5299" w:rsidP="00DF5299">
            <w:pPr>
              <w:spacing w:after="0" w:line="100" w:lineRule="atLeast"/>
              <w:jc w:val="both"/>
              <w:rPr>
                <w:rFonts w:cs="Calibri"/>
                <w:b/>
                <w:lang w:val="nl-NL"/>
              </w:rPr>
            </w:pPr>
            <w:r w:rsidRPr="009E3742">
              <w:rPr>
                <w:rFonts w:cs="Calibri"/>
                <w:b/>
                <w:lang w:val="nl-NL"/>
              </w:rPr>
              <w:t xml:space="preserve">The applicant's statements about his application for asylum in Greece were not doubted as he recounted what had happened in Greece and on his way to Austria in a very detailed way. The fact that there are no fingerprints from Greece in </w:t>
            </w:r>
            <w:r w:rsidRPr="009E3742">
              <w:rPr>
                <w:rFonts w:cs="Calibri"/>
                <w:b/>
                <w:lang w:val="en-US"/>
              </w:rPr>
              <w:t xml:space="preserve">the </w:t>
            </w:r>
            <w:r w:rsidRPr="009E3742">
              <w:rPr>
                <w:rFonts w:cs="Calibri"/>
                <w:b/>
                <w:lang w:val="nl-NL"/>
              </w:rPr>
              <w:t xml:space="preserve">EURODAC-system do not prove that he has not been to Greece </w:t>
            </w:r>
            <w:r w:rsidRPr="009E3742">
              <w:rPr>
                <w:rFonts w:cs="Calibri"/>
                <w:b/>
                <w:lang w:val="en-US"/>
              </w:rPr>
              <w:t xml:space="preserve">as is mentioned in </w:t>
            </w:r>
            <w:r w:rsidRPr="009E3742">
              <w:rPr>
                <w:rFonts w:cs="Calibri"/>
                <w:b/>
                <w:lang w:val="nl-NL"/>
              </w:rPr>
              <w:t xml:space="preserve">the Report of </w:t>
            </w:r>
            <w:r w:rsidRPr="009E3742">
              <w:rPr>
                <w:rFonts w:cs="Calibri"/>
                <w:b/>
                <w:lang w:val="en-US"/>
              </w:rPr>
              <w:t xml:space="preserve">the </w:t>
            </w:r>
            <w:r w:rsidRPr="009E3742">
              <w:rPr>
                <w:rFonts w:cs="Calibri"/>
                <w:b/>
                <w:lang w:val="nl-NL"/>
              </w:rPr>
              <w:t xml:space="preserve">European Commission for 2010. Greece, therefore, seems to be the responsible </w:t>
            </w:r>
            <w:r w:rsidRPr="009E3742">
              <w:rPr>
                <w:rFonts w:cs="Calibri"/>
                <w:b/>
                <w:lang w:val="nl-NL"/>
              </w:rPr>
              <w:lastRenderedPageBreak/>
              <w:t>Member State according to Art 16(1) Dublin II regulation.</w:t>
            </w:r>
          </w:p>
          <w:p w:rsidR="00DF5299" w:rsidRPr="009E3742" w:rsidRDefault="00DF5299" w:rsidP="00DF5299">
            <w:pPr>
              <w:spacing w:after="0" w:line="100" w:lineRule="atLeast"/>
              <w:jc w:val="both"/>
              <w:rPr>
                <w:rFonts w:cs="Calibri"/>
                <w:b/>
                <w:lang w:val="nl-NL"/>
              </w:rPr>
            </w:pPr>
            <w:r w:rsidRPr="009E3742">
              <w:rPr>
                <w:rFonts w:cs="Calibri"/>
                <w:b/>
                <w:lang w:val="nl-NL"/>
              </w:rPr>
              <w:t xml:space="preserve">According to Art 16(3) Dublin II regulation the responsiblity would only </w:t>
            </w:r>
            <w:r w:rsidRPr="009E3742">
              <w:rPr>
                <w:rFonts w:cs="Calibri"/>
                <w:b/>
                <w:lang w:val="en-US"/>
              </w:rPr>
              <w:t>expire</w:t>
            </w:r>
            <w:r w:rsidRPr="009E3742">
              <w:rPr>
                <w:rFonts w:cs="Calibri"/>
                <w:b/>
                <w:lang w:val="nl-NL"/>
              </w:rPr>
              <w:t xml:space="preserve"> if he </w:t>
            </w:r>
            <w:r w:rsidRPr="009E3742">
              <w:rPr>
                <w:rFonts w:cs="Calibri"/>
                <w:b/>
                <w:lang w:val="en-US"/>
              </w:rPr>
              <w:t>had</w:t>
            </w:r>
            <w:r w:rsidRPr="009E3742">
              <w:rPr>
                <w:rFonts w:cs="Calibri"/>
                <w:b/>
                <w:lang w:val="nl-NL"/>
              </w:rPr>
              <w:t xml:space="preserve"> be</w:t>
            </w:r>
            <w:r w:rsidRPr="009E3742">
              <w:rPr>
                <w:rFonts w:cs="Calibri"/>
                <w:b/>
                <w:lang w:val="en-US"/>
              </w:rPr>
              <w:t>en</w:t>
            </w:r>
            <w:r w:rsidRPr="009E3742">
              <w:rPr>
                <w:rFonts w:cs="Calibri"/>
                <w:b/>
                <w:lang w:val="nl-NL"/>
              </w:rPr>
              <w:t xml:space="preserve"> outside of European Union for more than three months. As he had left the European Union for only two months, Greece still seems to be responsible for the claimant’s asylum procedure. This responsibility </w:t>
            </w:r>
            <w:r w:rsidRPr="009E3742">
              <w:rPr>
                <w:rFonts w:cs="Calibri"/>
                <w:b/>
                <w:lang w:val="en-US"/>
              </w:rPr>
              <w:t>is valid in spite of the fact that</w:t>
            </w:r>
            <w:r w:rsidRPr="009E3742">
              <w:rPr>
                <w:rFonts w:cs="Calibri"/>
                <w:b/>
                <w:lang w:val="nl-NL"/>
              </w:rPr>
              <w:t xml:space="preserve"> deportations to Greece are not allowed in order to protect the asylum seeker’s human rights.</w:t>
            </w:r>
          </w:p>
          <w:p w:rsidR="00DF5299" w:rsidRDefault="00DF5299" w:rsidP="000660A0">
            <w:pPr>
              <w:spacing w:after="0" w:line="240" w:lineRule="auto"/>
              <w:jc w:val="both"/>
              <w:rPr>
                <w:rFonts w:cs="Calibri"/>
                <w:b/>
                <w:lang w:val="nl-NL"/>
              </w:rPr>
            </w:pPr>
            <w:r w:rsidRPr="009E3742">
              <w:rPr>
                <w:rFonts w:cs="Calibri"/>
                <w:b/>
                <w:lang w:val="nl-NL"/>
              </w:rPr>
              <w:t>Although the consultations between Hungary and Austria were incomplete because of a lack of exchanged information between the two countries' authorities, Greece still seems to be the responsible state. A deportation to Greece, however, is against human rights, in spite of Greek responsibility for the case. Thus, the applicant has to be admitted to the procedure in merits in Austria. For investigations on Greece's responsibility for his case – based on further investigations whether he really applied for asylum in Greece – the case was returned to the Federal Asylum Office.</w:t>
            </w:r>
          </w:p>
        </w:tc>
      </w:tr>
      <w:tr w:rsidR="00DF5299" w:rsidRPr="00996C36" w:rsidTr="000660A0">
        <w:trPr>
          <w:trHeight w:val="385"/>
        </w:trPr>
        <w:tc>
          <w:tcPr>
            <w:tcW w:w="435" w:type="dxa"/>
            <w:tcBorders>
              <w:top w:val="single" w:sz="4" w:space="0" w:color="auto"/>
              <w:left w:val="single" w:sz="4" w:space="0" w:color="000000"/>
              <w:bottom w:val="single" w:sz="4" w:space="0" w:color="auto"/>
              <w:right w:val="single" w:sz="4" w:space="0" w:color="000000"/>
            </w:tcBorders>
          </w:tcPr>
          <w:p w:rsidR="00DF5299" w:rsidRDefault="00DF5299">
            <w:pPr>
              <w:spacing w:after="0" w:line="240" w:lineRule="auto"/>
              <w:rPr>
                <w:rFonts w:cs="Calibri"/>
                <w:b/>
                <w:lang w:val="nl-NL"/>
              </w:rPr>
            </w:pPr>
          </w:p>
        </w:tc>
        <w:tc>
          <w:tcPr>
            <w:tcW w:w="2259" w:type="dxa"/>
            <w:tcBorders>
              <w:top w:val="single" w:sz="4" w:space="0" w:color="auto"/>
              <w:left w:val="single" w:sz="4" w:space="0" w:color="000000"/>
              <w:bottom w:val="single" w:sz="4" w:space="0" w:color="auto"/>
              <w:right w:val="single" w:sz="4" w:space="0" w:color="000000"/>
            </w:tcBorders>
            <w:hideMark/>
          </w:tcPr>
          <w:p w:rsidR="00DF5299" w:rsidRDefault="00DF5299" w:rsidP="000660A0">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DF5299" w:rsidRDefault="00DF5299">
            <w:pPr>
              <w:spacing w:after="0" w:line="240" w:lineRule="auto"/>
              <w:rPr>
                <w:rFonts w:cs="Calibri"/>
                <w:b/>
                <w:lang w:val="nl-NL"/>
              </w:rPr>
            </w:pPr>
          </w:p>
        </w:tc>
      </w:tr>
      <w:tr w:rsidR="00DF5299" w:rsidTr="000660A0">
        <w:trPr>
          <w:trHeight w:val="325"/>
        </w:trPr>
        <w:tc>
          <w:tcPr>
            <w:tcW w:w="435" w:type="dxa"/>
            <w:tcBorders>
              <w:top w:val="single" w:sz="4" w:space="0" w:color="auto"/>
              <w:left w:val="single" w:sz="4" w:space="0" w:color="000000"/>
              <w:bottom w:val="single" w:sz="4" w:space="0" w:color="auto"/>
              <w:right w:val="single" w:sz="4" w:space="0" w:color="000000"/>
            </w:tcBorders>
          </w:tcPr>
          <w:p w:rsidR="00DF5299" w:rsidRDefault="00DF5299">
            <w:pPr>
              <w:spacing w:after="0" w:line="240" w:lineRule="auto"/>
              <w:rPr>
                <w:rFonts w:cs="Calibri"/>
                <w:lang w:val="nl-NL"/>
              </w:rPr>
            </w:pPr>
          </w:p>
        </w:tc>
        <w:tc>
          <w:tcPr>
            <w:tcW w:w="2259" w:type="dxa"/>
            <w:tcBorders>
              <w:top w:val="single" w:sz="4" w:space="0" w:color="auto"/>
              <w:left w:val="single" w:sz="4" w:space="0" w:color="000000"/>
              <w:bottom w:val="single" w:sz="4" w:space="0" w:color="auto"/>
              <w:right w:val="single" w:sz="4" w:space="0" w:color="000000"/>
            </w:tcBorders>
            <w:hideMark/>
          </w:tcPr>
          <w:p w:rsidR="00DF5299" w:rsidRDefault="00DF5299">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DF5299" w:rsidRDefault="00DF5299" w:rsidP="000660A0">
            <w:pPr>
              <w:spacing w:after="0" w:line="240" w:lineRule="auto"/>
              <w:jc w:val="both"/>
              <w:rPr>
                <w:rFonts w:cs="Calibri"/>
                <w:bCs/>
                <w:lang w:val="nl-NL"/>
              </w:rPr>
            </w:pPr>
            <w:r>
              <w:rPr>
                <w:rFonts w:cs="Calibri"/>
                <w:bCs/>
                <w:lang w:val="nl-NL"/>
              </w:rPr>
              <w:t xml:space="preserve">The application was </w:t>
            </w:r>
            <w:r w:rsidRPr="00DF5299">
              <w:rPr>
                <w:rFonts w:cs="Calibri"/>
                <w:bCs/>
                <w:lang w:val="nl-NL"/>
              </w:rPr>
              <w:t xml:space="preserve">returned </w:t>
            </w:r>
            <w:r w:rsidRPr="00DF5299">
              <w:rPr>
                <w:rFonts w:cs="Calibri"/>
                <w:bCs/>
                <w:lang w:val="en-US"/>
              </w:rPr>
              <w:t>to the Federal Asylum Office</w:t>
            </w:r>
            <w:r w:rsidRPr="00DF5299">
              <w:rPr>
                <w:rFonts w:cs="Calibri"/>
                <w:bCs/>
                <w:lang w:val="nl-NL"/>
              </w:rPr>
              <w:t xml:space="preserve"> for further investigations and to inform Hungarian authorities about the fact that the applicant </w:t>
            </w:r>
            <w:r w:rsidRPr="00DF5299">
              <w:rPr>
                <w:rFonts w:cs="Calibri"/>
                <w:bCs/>
                <w:lang w:val="en-US"/>
              </w:rPr>
              <w:t xml:space="preserve">had </w:t>
            </w:r>
            <w:r w:rsidRPr="00DF5299">
              <w:rPr>
                <w:rFonts w:cs="Calibri"/>
                <w:bCs/>
                <w:lang w:val="nl-NL"/>
              </w:rPr>
              <w:t>applied</w:t>
            </w:r>
            <w:r>
              <w:rPr>
                <w:rFonts w:cs="Calibri"/>
                <w:bCs/>
                <w:lang w:val="nl-NL"/>
              </w:rPr>
              <w:t xml:space="preserve"> for asylum in Greece.</w:t>
            </w:r>
          </w:p>
        </w:tc>
      </w:tr>
      <w:tr w:rsidR="00DF5299" w:rsidTr="000660A0">
        <w:tc>
          <w:tcPr>
            <w:tcW w:w="2694" w:type="dxa"/>
            <w:gridSpan w:val="2"/>
            <w:tcBorders>
              <w:top w:val="nil"/>
              <w:left w:val="single" w:sz="4" w:space="0" w:color="000000"/>
              <w:bottom w:val="single" w:sz="4" w:space="0" w:color="000000"/>
              <w:right w:val="single" w:sz="4" w:space="0" w:color="000000"/>
            </w:tcBorders>
            <w:hideMark/>
          </w:tcPr>
          <w:p w:rsidR="00DF5299" w:rsidRDefault="00DF5299">
            <w:pPr>
              <w:spacing w:after="0" w:line="240" w:lineRule="auto"/>
              <w:rPr>
                <w:rFonts w:cs="Calibri"/>
              </w:rPr>
            </w:pPr>
            <w:proofErr w:type="spellStart"/>
            <w:r>
              <w:rPr>
                <w:rFonts w:cs="Calibri"/>
              </w:rPr>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DF5299" w:rsidRDefault="00DF5299" w:rsidP="00AB7286">
            <w:pPr>
              <w:spacing w:after="0" w:line="240" w:lineRule="auto"/>
              <w:jc w:val="both"/>
              <w:rPr>
                <w:rFonts w:cs="Calibri"/>
                <w:b/>
                <w:lang w:val="nl-NL"/>
              </w:rPr>
            </w:pPr>
            <w:r>
              <w:rPr>
                <w:rFonts w:cs="Calibri"/>
                <w:b/>
                <w:lang w:val="nl-NL"/>
              </w:rPr>
              <w:t xml:space="preserve">The Federal Asylum Office released once more a Dublin transfer decision. The reasons for this decision were once more the exactly same as in the first inadmissibility decision. The applicant appealed the decision. The Asylum Court accepted the appeal once more </w:t>
            </w:r>
            <w:r w:rsidR="00090E05">
              <w:rPr>
                <w:rFonts w:cs="Calibri"/>
                <w:b/>
                <w:lang w:val="nl-NL"/>
              </w:rPr>
              <w:t xml:space="preserve">(AsylGH 20.04.2012, S1 424.088-2/2012/2E) </w:t>
            </w:r>
            <w:r>
              <w:rPr>
                <w:rFonts w:cs="Calibri"/>
                <w:b/>
                <w:lang w:val="nl-NL"/>
              </w:rPr>
              <w:t>and emphasised the arguments from the decision discussed above.</w:t>
            </w:r>
          </w:p>
          <w:p w:rsidR="00090E05" w:rsidRDefault="000660A0" w:rsidP="000660A0">
            <w:pPr>
              <w:spacing w:after="0" w:line="240" w:lineRule="auto"/>
              <w:jc w:val="both"/>
              <w:rPr>
                <w:rFonts w:cs="Calibri"/>
                <w:b/>
                <w:lang w:val="nl-NL"/>
              </w:rPr>
            </w:pPr>
            <w:r>
              <w:rPr>
                <w:rFonts w:cs="Calibri"/>
                <w:b/>
                <w:lang w:val="nl-NL"/>
              </w:rPr>
              <w:t xml:space="preserve">The Federal Asylum Office finally conducted a procedure in merits, rejected the application for asylum and issued an expulsion order to India. He appealed against it and the procedure is now. </w:t>
            </w:r>
          </w:p>
        </w:tc>
      </w:tr>
      <w:tr w:rsidR="00DF5299" w:rsidRPr="00996C36" w:rsidTr="000660A0">
        <w:tc>
          <w:tcPr>
            <w:tcW w:w="2694" w:type="dxa"/>
            <w:gridSpan w:val="2"/>
            <w:tcBorders>
              <w:top w:val="single" w:sz="4" w:space="0" w:color="000000"/>
              <w:left w:val="single" w:sz="4" w:space="0" w:color="000000"/>
              <w:bottom w:val="single" w:sz="4" w:space="0" w:color="000000"/>
              <w:right w:val="single" w:sz="4" w:space="0" w:color="000000"/>
            </w:tcBorders>
            <w:hideMark/>
          </w:tcPr>
          <w:p w:rsidR="00DF5299" w:rsidRDefault="00DF5299">
            <w:pPr>
              <w:spacing w:after="0" w:line="240" w:lineRule="auto"/>
              <w:rPr>
                <w:rFonts w:cs="Calibri"/>
                <w:bCs/>
                <w:lang w:val="en-US"/>
              </w:rPr>
            </w:pPr>
            <w:r>
              <w:rPr>
                <w:rFonts w:cs="Calibri"/>
                <w:bCs/>
                <w:lang w:val="en-US"/>
              </w:rPr>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DF5299" w:rsidRDefault="00090E05">
            <w:pPr>
              <w:spacing w:after="0" w:line="240" w:lineRule="auto"/>
              <w:rPr>
                <w:rFonts w:cs="Calibri"/>
                <w:b/>
                <w:lang w:val="en-US"/>
              </w:rPr>
            </w:pPr>
            <w:r>
              <w:rPr>
                <w:rFonts w:cs="Calibri"/>
                <w:b/>
                <w:lang w:val="en-US"/>
              </w:rPr>
              <w:t>Art 10, Art 26 (3)</w:t>
            </w:r>
          </w:p>
        </w:tc>
      </w:tr>
      <w:tr w:rsidR="00DF5299" w:rsidTr="000660A0">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DF5299" w:rsidRDefault="00DF5299">
            <w:pPr>
              <w:spacing w:after="0" w:line="240" w:lineRule="auto"/>
              <w:rPr>
                <w:rFonts w:cs="Calibri"/>
                <w:bCs/>
              </w:rPr>
            </w:pPr>
            <w:proofErr w:type="spellStart"/>
            <w:r>
              <w:rPr>
                <w:rFonts w:cs="Calibri"/>
                <w:bCs/>
              </w:rPr>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DF5299" w:rsidRDefault="00DF5299">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2996" w:type="dxa"/>
            <w:tcBorders>
              <w:top w:val="single" w:sz="4" w:space="0" w:color="000000"/>
              <w:left w:val="single" w:sz="4" w:space="0" w:color="000000"/>
              <w:bottom w:val="single" w:sz="4" w:space="0" w:color="000000"/>
              <w:right w:val="single" w:sz="4" w:space="0" w:color="000000"/>
            </w:tcBorders>
          </w:tcPr>
          <w:p w:rsidR="00DF5299" w:rsidRDefault="00DF5299">
            <w:pPr>
              <w:spacing w:after="0" w:line="240" w:lineRule="auto"/>
              <w:rPr>
                <w:rFonts w:cs="Calibri"/>
                <w:bCs/>
                <w:i/>
                <w:iCs/>
                <w:lang w:val="en-US"/>
              </w:rPr>
            </w:pPr>
            <w:r>
              <w:rPr>
                <w:rFonts w:cs="Calibri"/>
                <w:bCs/>
                <w:i/>
                <w:iCs/>
                <w:lang w:val="en-US"/>
              </w:rPr>
              <w:t>Legislation</w:t>
            </w:r>
          </w:p>
        </w:tc>
        <w:tc>
          <w:tcPr>
            <w:tcW w:w="3774" w:type="dxa"/>
            <w:tcBorders>
              <w:top w:val="single" w:sz="4" w:space="0" w:color="000000"/>
              <w:left w:val="single" w:sz="4" w:space="0" w:color="000000"/>
              <w:bottom w:val="single" w:sz="4" w:space="0" w:color="000000"/>
              <w:right w:val="single" w:sz="4" w:space="0" w:color="000000"/>
            </w:tcBorders>
            <w:hideMark/>
          </w:tcPr>
          <w:p w:rsidR="00DF5299" w:rsidRDefault="00DF5299">
            <w:pPr>
              <w:spacing w:after="0" w:line="240" w:lineRule="auto"/>
              <w:rPr>
                <w:rFonts w:cs="Calibri"/>
                <w:bCs/>
                <w:i/>
                <w:iCs/>
                <w:lang w:val="en-US"/>
              </w:rPr>
            </w:pPr>
            <w:r>
              <w:rPr>
                <w:rFonts w:cs="Calibri"/>
                <w:bCs/>
                <w:i/>
                <w:iCs/>
                <w:lang w:val="en-US"/>
              </w:rPr>
              <w:t>Articles</w:t>
            </w:r>
          </w:p>
        </w:tc>
      </w:tr>
      <w:tr w:rsidR="00DF5299" w:rsidTr="000660A0">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DF5299" w:rsidRDefault="00DF5299">
            <w:pPr>
              <w:spacing w:after="0" w:line="240" w:lineRule="auto"/>
              <w:rPr>
                <w:rFonts w:cs="Calibri"/>
                <w:bCs/>
                <w:lang w:val="en-US"/>
              </w:rPr>
            </w:pPr>
          </w:p>
        </w:tc>
        <w:tc>
          <w:tcPr>
            <w:tcW w:w="2996" w:type="dxa"/>
            <w:tcBorders>
              <w:top w:val="single" w:sz="4" w:space="0" w:color="000000"/>
              <w:left w:val="single" w:sz="4" w:space="0" w:color="000000"/>
              <w:bottom w:val="dashed" w:sz="4" w:space="0" w:color="auto"/>
              <w:right w:val="dashed" w:sz="4" w:space="0" w:color="auto"/>
            </w:tcBorders>
          </w:tcPr>
          <w:p w:rsidR="00DF5299" w:rsidRDefault="00090E05">
            <w:pPr>
              <w:spacing w:after="0" w:line="240" w:lineRule="auto"/>
              <w:rPr>
                <w:rFonts w:cs="Calibri"/>
                <w:bCs/>
                <w:lang w:val="en-US"/>
              </w:rPr>
            </w:pPr>
            <w:r>
              <w:rPr>
                <w:rFonts w:cs="Calibri"/>
                <w:bCs/>
                <w:lang w:val="en-US"/>
              </w:rPr>
              <w:t>Asylum Law (</w:t>
            </w:r>
            <w:proofErr w:type="spellStart"/>
            <w:r>
              <w:rPr>
                <w:rFonts w:cs="Calibri"/>
                <w:bCs/>
                <w:lang w:val="en-US"/>
              </w:rPr>
              <w:t>Asylgesetz</w:t>
            </w:r>
            <w:proofErr w:type="spellEnd"/>
            <w:r>
              <w:rPr>
                <w:rFonts w:cs="Calibri"/>
                <w:bCs/>
                <w:lang w:val="en-US"/>
              </w:rPr>
              <w:t xml:space="preserve"> 2005)</w:t>
            </w:r>
          </w:p>
        </w:tc>
        <w:tc>
          <w:tcPr>
            <w:tcW w:w="3774" w:type="dxa"/>
            <w:tcBorders>
              <w:top w:val="single" w:sz="4" w:space="0" w:color="000000"/>
              <w:left w:val="dashed" w:sz="4" w:space="0" w:color="auto"/>
              <w:bottom w:val="dashed" w:sz="4" w:space="0" w:color="auto"/>
              <w:right w:val="single" w:sz="4" w:space="0" w:color="000000"/>
            </w:tcBorders>
          </w:tcPr>
          <w:p w:rsidR="00DF5299" w:rsidRDefault="00090E05">
            <w:pPr>
              <w:spacing w:after="0" w:line="240" w:lineRule="auto"/>
              <w:rPr>
                <w:rFonts w:cs="Calibri"/>
                <w:bCs/>
                <w:lang w:val="en-US"/>
              </w:rPr>
            </w:pPr>
            <w:r>
              <w:rPr>
                <w:rFonts w:cs="Calibri"/>
                <w:bCs/>
                <w:lang w:val="en-US"/>
              </w:rPr>
              <w:t>§§ 5, 10; § 41 (3)</w:t>
            </w:r>
          </w:p>
        </w:tc>
      </w:tr>
      <w:tr w:rsidR="00DF5299" w:rsidTr="000660A0">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DF5299" w:rsidRDefault="00DF5299">
            <w:pPr>
              <w:spacing w:after="0" w:line="240" w:lineRule="auto"/>
              <w:rPr>
                <w:rFonts w:cs="Calibri"/>
                <w:bCs/>
                <w:lang w:val="en-US"/>
              </w:rPr>
            </w:pPr>
          </w:p>
        </w:tc>
        <w:tc>
          <w:tcPr>
            <w:tcW w:w="2996" w:type="dxa"/>
            <w:tcBorders>
              <w:top w:val="dashed" w:sz="4" w:space="0" w:color="auto"/>
              <w:left w:val="single" w:sz="4" w:space="0" w:color="000000"/>
              <w:bottom w:val="single" w:sz="4" w:space="0" w:color="000000"/>
              <w:right w:val="dashed" w:sz="4" w:space="0" w:color="auto"/>
            </w:tcBorders>
          </w:tcPr>
          <w:p w:rsidR="00DF5299" w:rsidRDefault="00DF5299">
            <w:pPr>
              <w:spacing w:after="0" w:line="240" w:lineRule="auto"/>
              <w:rPr>
                <w:rFonts w:cs="Calibri"/>
                <w:bCs/>
                <w:lang w:val="en-US"/>
              </w:rPr>
            </w:pPr>
          </w:p>
        </w:tc>
        <w:tc>
          <w:tcPr>
            <w:tcW w:w="3774" w:type="dxa"/>
            <w:tcBorders>
              <w:top w:val="dashed" w:sz="4" w:space="0" w:color="auto"/>
              <w:left w:val="dashed" w:sz="4" w:space="0" w:color="auto"/>
              <w:bottom w:val="single" w:sz="4" w:space="0" w:color="000000"/>
              <w:right w:val="single" w:sz="4" w:space="0" w:color="000000"/>
            </w:tcBorders>
          </w:tcPr>
          <w:p w:rsidR="00DF5299" w:rsidRDefault="00DF5299">
            <w:pPr>
              <w:spacing w:after="0" w:line="240" w:lineRule="auto"/>
              <w:rPr>
                <w:rFonts w:cs="Calibri"/>
                <w:bCs/>
                <w:lang w:val="en-US"/>
              </w:rPr>
            </w:pPr>
          </w:p>
        </w:tc>
      </w:tr>
      <w:tr w:rsidR="00DF5299" w:rsidTr="000660A0">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DF5299" w:rsidRDefault="00DF5299">
            <w:pPr>
              <w:spacing w:after="0" w:line="240" w:lineRule="auto"/>
              <w:rPr>
                <w:rFonts w:cs="Calibri"/>
                <w:bCs/>
                <w:lang w:val="en-US"/>
              </w:rPr>
            </w:pPr>
            <w:r>
              <w:rPr>
                <w:rFonts w:cs="Calibri"/>
                <w:bCs/>
                <w:lang w:val="en-US"/>
              </w:rPr>
              <w:t>Case law cited</w:t>
            </w:r>
          </w:p>
          <w:p w:rsidR="00DF5299" w:rsidRDefault="00DF5299">
            <w:pPr>
              <w:spacing w:after="0" w:line="240" w:lineRule="auto"/>
              <w:rPr>
                <w:rFonts w:cs="Calibri"/>
                <w:bCs/>
                <w:lang w:val="en-US"/>
              </w:rPr>
            </w:pPr>
            <w:r>
              <w:rPr>
                <w:rFonts w:cs="Calibri"/>
                <w:bCs/>
                <w:lang w:val="en-US"/>
              </w:rPr>
              <w:t>(national &amp; international references)</w:t>
            </w:r>
          </w:p>
        </w:tc>
        <w:tc>
          <w:tcPr>
            <w:tcW w:w="2996" w:type="dxa"/>
            <w:tcBorders>
              <w:top w:val="single" w:sz="4" w:space="0" w:color="000000"/>
              <w:left w:val="single" w:sz="4" w:space="0" w:color="000000"/>
              <w:bottom w:val="single" w:sz="4" w:space="0" w:color="000000"/>
              <w:right w:val="single" w:sz="4" w:space="0" w:color="000000"/>
            </w:tcBorders>
          </w:tcPr>
          <w:p w:rsidR="00DF5299" w:rsidRDefault="00DF5299">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p w:rsidR="00DF5299" w:rsidRDefault="00DF5299">
            <w:pPr>
              <w:spacing w:after="0" w:line="240" w:lineRule="auto"/>
              <w:rPr>
                <w:rFonts w:cs="Calibri"/>
                <w:bCs/>
                <w:i/>
                <w:iCs/>
              </w:rPr>
            </w:pPr>
          </w:p>
        </w:tc>
        <w:tc>
          <w:tcPr>
            <w:tcW w:w="3774" w:type="dxa"/>
            <w:tcBorders>
              <w:top w:val="single" w:sz="4" w:space="0" w:color="000000"/>
              <w:left w:val="single" w:sz="4" w:space="0" w:color="000000"/>
              <w:bottom w:val="single" w:sz="4" w:space="0" w:color="000000"/>
              <w:right w:val="single" w:sz="4" w:space="0" w:color="000000"/>
            </w:tcBorders>
            <w:hideMark/>
          </w:tcPr>
          <w:p w:rsidR="00DF5299" w:rsidRDefault="00DF5299">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DF5299" w:rsidTr="000660A0">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DF5299" w:rsidRDefault="00DF5299">
            <w:pPr>
              <w:spacing w:after="0" w:line="240" w:lineRule="auto"/>
              <w:rPr>
                <w:rFonts w:cs="Calibri"/>
                <w:bCs/>
                <w:lang w:val="en-US"/>
              </w:rPr>
            </w:pPr>
          </w:p>
        </w:tc>
        <w:tc>
          <w:tcPr>
            <w:tcW w:w="2996" w:type="dxa"/>
            <w:tcBorders>
              <w:top w:val="single" w:sz="4" w:space="0" w:color="000000"/>
              <w:left w:val="single" w:sz="4" w:space="0" w:color="000000"/>
              <w:bottom w:val="dashed" w:sz="4" w:space="0" w:color="auto"/>
              <w:right w:val="dashed" w:sz="4" w:space="0" w:color="auto"/>
            </w:tcBorders>
          </w:tcPr>
          <w:p w:rsidR="00DF5299" w:rsidRDefault="00090E05">
            <w:pPr>
              <w:spacing w:after="0" w:line="240" w:lineRule="auto"/>
              <w:rPr>
                <w:rFonts w:cs="Calibri"/>
                <w:bCs/>
              </w:rPr>
            </w:pPr>
            <w:r>
              <w:rPr>
                <w:rFonts w:cs="Calibri"/>
                <w:bCs/>
              </w:rPr>
              <w:t>ECJ</w:t>
            </w:r>
          </w:p>
        </w:tc>
        <w:tc>
          <w:tcPr>
            <w:tcW w:w="3774" w:type="dxa"/>
            <w:tcBorders>
              <w:top w:val="single" w:sz="4" w:space="0" w:color="000000"/>
              <w:left w:val="dashed" w:sz="4" w:space="0" w:color="auto"/>
              <w:bottom w:val="dashed" w:sz="4" w:space="0" w:color="auto"/>
              <w:right w:val="single" w:sz="4" w:space="0" w:color="000000"/>
            </w:tcBorders>
          </w:tcPr>
          <w:p w:rsidR="00DF5299" w:rsidRDefault="00090E05">
            <w:pPr>
              <w:spacing w:after="0" w:line="240" w:lineRule="auto"/>
              <w:rPr>
                <w:rFonts w:cs="Calibri"/>
                <w:bCs/>
              </w:rPr>
            </w:pPr>
            <w:r>
              <w:rPr>
                <w:rFonts w:cs="Calibri"/>
                <w:bCs/>
              </w:rPr>
              <w:t>C-411/10 ; C-439/10</w:t>
            </w:r>
          </w:p>
        </w:tc>
      </w:tr>
      <w:tr w:rsidR="00DF5299" w:rsidTr="000660A0">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DF5299" w:rsidRDefault="00DF5299">
            <w:pPr>
              <w:spacing w:after="0" w:line="240" w:lineRule="auto"/>
              <w:rPr>
                <w:rFonts w:cs="Calibri"/>
                <w:bCs/>
                <w:lang w:val="en-US"/>
              </w:rPr>
            </w:pPr>
          </w:p>
        </w:tc>
        <w:tc>
          <w:tcPr>
            <w:tcW w:w="2996" w:type="dxa"/>
            <w:tcBorders>
              <w:top w:val="dashed" w:sz="4" w:space="0" w:color="auto"/>
              <w:left w:val="single" w:sz="4" w:space="0" w:color="000000"/>
              <w:bottom w:val="single" w:sz="4" w:space="0" w:color="000000"/>
              <w:right w:val="dashed" w:sz="4" w:space="0" w:color="auto"/>
            </w:tcBorders>
          </w:tcPr>
          <w:p w:rsidR="00DF5299" w:rsidRDefault="00090E05">
            <w:pPr>
              <w:spacing w:after="0" w:line="240" w:lineRule="auto"/>
              <w:rPr>
                <w:rFonts w:cs="Calibri"/>
                <w:bCs/>
              </w:rPr>
            </w:pPr>
            <w:r>
              <w:rPr>
                <w:rFonts w:cs="Calibri"/>
                <w:bCs/>
              </w:rPr>
              <w:t>ECHR</w:t>
            </w:r>
          </w:p>
        </w:tc>
        <w:tc>
          <w:tcPr>
            <w:tcW w:w="3774" w:type="dxa"/>
            <w:tcBorders>
              <w:top w:val="dashed" w:sz="4" w:space="0" w:color="auto"/>
              <w:left w:val="dashed" w:sz="4" w:space="0" w:color="auto"/>
              <w:bottom w:val="single" w:sz="4" w:space="0" w:color="000000"/>
              <w:right w:val="single" w:sz="4" w:space="0" w:color="000000"/>
            </w:tcBorders>
          </w:tcPr>
          <w:p w:rsidR="00DF5299" w:rsidRDefault="00090E05">
            <w:pPr>
              <w:spacing w:after="0" w:line="240" w:lineRule="auto"/>
              <w:rPr>
                <w:rFonts w:cs="Calibri"/>
                <w:bCs/>
              </w:rPr>
            </w:pPr>
            <w:r>
              <w:rPr>
                <w:rFonts w:cs="Calibri"/>
                <w:bCs/>
              </w:rPr>
              <w:t xml:space="preserve">M.S.S. vs </w:t>
            </w:r>
            <w:proofErr w:type="spellStart"/>
            <w:r>
              <w:rPr>
                <w:rFonts w:cs="Calibri"/>
                <w:bCs/>
              </w:rPr>
              <w:t>Belgium</w:t>
            </w:r>
            <w:proofErr w:type="spellEnd"/>
            <w:r>
              <w:rPr>
                <w:rFonts w:cs="Calibri"/>
                <w:bCs/>
              </w:rPr>
              <w:t xml:space="preserve"> and </w:t>
            </w:r>
            <w:proofErr w:type="spellStart"/>
            <w:r>
              <w:rPr>
                <w:rFonts w:cs="Calibri"/>
                <w:bCs/>
              </w:rPr>
              <w:t>Greece</w:t>
            </w:r>
            <w:proofErr w:type="spellEnd"/>
            <w:r>
              <w:rPr>
                <w:rFonts w:cs="Calibri"/>
                <w:bCs/>
              </w:rPr>
              <w:t>, 30696/09</w:t>
            </w:r>
          </w:p>
        </w:tc>
      </w:tr>
      <w:tr w:rsidR="00DF5299" w:rsidTr="000660A0">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DF5299" w:rsidRDefault="00DF5299">
            <w:pPr>
              <w:spacing w:after="0" w:line="240" w:lineRule="auto"/>
              <w:rPr>
                <w:rFonts w:cs="Calibri"/>
                <w:bCs/>
              </w:rPr>
            </w:pPr>
            <w:proofErr w:type="spellStart"/>
            <w:r>
              <w:rPr>
                <w:rFonts w:cs="Calibri"/>
                <w:bCs/>
              </w:rPr>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2996" w:type="dxa"/>
            <w:tcBorders>
              <w:top w:val="single" w:sz="4" w:space="0" w:color="000000"/>
              <w:left w:val="single" w:sz="4" w:space="0" w:color="000000"/>
              <w:bottom w:val="single" w:sz="4" w:space="0" w:color="000000"/>
              <w:right w:val="single" w:sz="4" w:space="0" w:color="000000"/>
            </w:tcBorders>
          </w:tcPr>
          <w:p w:rsidR="00DF5299" w:rsidRDefault="00DF5299">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DF5299" w:rsidRDefault="00DF5299">
            <w:pPr>
              <w:tabs>
                <w:tab w:val="left" w:pos="1575"/>
              </w:tabs>
              <w:spacing w:after="0" w:line="240" w:lineRule="auto"/>
              <w:rPr>
                <w:rFonts w:cs="Calibri"/>
                <w:bCs/>
                <w:i/>
                <w:iCs/>
              </w:rPr>
            </w:pPr>
          </w:p>
        </w:tc>
        <w:tc>
          <w:tcPr>
            <w:tcW w:w="3774" w:type="dxa"/>
            <w:tcBorders>
              <w:top w:val="single" w:sz="4" w:space="0" w:color="000000"/>
              <w:left w:val="single" w:sz="4" w:space="0" w:color="000000"/>
              <w:bottom w:val="single" w:sz="4" w:space="0" w:color="000000"/>
              <w:right w:val="single" w:sz="4" w:space="0" w:color="000000"/>
            </w:tcBorders>
            <w:hideMark/>
          </w:tcPr>
          <w:p w:rsidR="00DF5299" w:rsidRDefault="00DF5299">
            <w:pPr>
              <w:spacing w:after="0" w:line="240" w:lineRule="auto"/>
              <w:rPr>
                <w:rFonts w:cs="Calibri"/>
                <w:bCs/>
                <w:i/>
                <w:iCs/>
              </w:rPr>
            </w:pPr>
            <w:r>
              <w:rPr>
                <w:rFonts w:cs="Calibri"/>
                <w:bCs/>
                <w:i/>
                <w:iCs/>
              </w:rPr>
              <w:t>Reference</w:t>
            </w:r>
          </w:p>
        </w:tc>
      </w:tr>
      <w:tr w:rsidR="00DF5299" w:rsidTr="000660A0">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DF5299" w:rsidRDefault="00DF5299">
            <w:pPr>
              <w:spacing w:after="0" w:line="240" w:lineRule="auto"/>
              <w:rPr>
                <w:rFonts w:cs="Calibri"/>
                <w:bCs/>
              </w:rPr>
            </w:pPr>
          </w:p>
        </w:tc>
        <w:tc>
          <w:tcPr>
            <w:tcW w:w="2996" w:type="dxa"/>
            <w:tcBorders>
              <w:top w:val="single" w:sz="4" w:space="0" w:color="000000"/>
              <w:left w:val="single" w:sz="4" w:space="0" w:color="000000"/>
              <w:bottom w:val="dashSmallGap" w:sz="4" w:space="0" w:color="auto"/>
              <w:right w:val="dashed" w:sz="4" w:space="0" w:color="auto"/>
            </w:tcBorders>
          </w:tcPr>
          <w:p w:rsidR="00DF5299" w:rsidRDefault="00090E05">
            <w:pPr>
              <w:spacing w:after="0" w:line="240" w:lineRule="auto"/>
              <w:rPr>
                <w:rFonts w:cs="Calibri"/>
                <w:bCs/>
              </w:rPr>
            </w:pPr>
            <w:proofErr w:type="spellStart"/>
            <w:r>
              <w:rPr>
                <w:rFonts w:cs="Calibri"/>
                <w:bCs/>
              </w:rPr>
              <w:t>European</w:t>
            </w:r>
            <w:proofErr w:type="spellEnd"/>
            <w:r>
              <w:rPr>
                <w:rFonts w:cs="Calibri"/>
                <w:bCs/>
              </w:rPr>
              <w:t xml:space="preserve"> Commission</w:t>
            </w:r>
          </w:p>
        </w:tc>
        <w:tc>
          <w:tcPr>
            <w:tcW w:w="3774" w:type="dxa"/>
            <w:tcBorders>
              <w:top w:val="single" w:sz="4" w:space="0" w:color="000000"/>
              <w:left w:val="dashed" w:sz="4" w:space="0" w:color="auto"/>
              <w:bottom w:val="dashSmallGap" w:sz="4" w:space="0" w:color="auto"/>
              <w:right w:val="single" w:sz="4" w:space="0" w:color="000000"/>
            </w:tcBorders>
          </w:tcPr>
          <w:p w:rsidR="00DF5299" w:rsidRDefault="00090E05">
            <w:pPr>
              <w:spacing w:after="0" w:line="240" w:lineRule="auto"/>
              <w:rPr>
                <w:rFonts w:cs="Calibri"/>
                <w:bCs/>
              </w:rPr>
            </w:pPr>
            <w:proofErr w:type="spellStart"/>
            <w:r>
              <w:rPr>
                <w:rFonts w:cs="Calibri"/>
                <w:bCs/>
              </w:rPr>
              <w:t>Annual</w:t>
            </w:r>
            <w:proofErr w:type="spellEnd"/>
            <w:r>
              <w:rPr>
                <w:rFonts w:cs="Calibri"/>
                <w:bCs/>
              </w:rPr>
              <w:t xml:space="preserve"> Report to the </w:t>
            </w:r>
            <w:proofErr w:type="spellStart"/>
            <w:r>
              <w:rPr>
                <w:rFonts w:cs="Calibri"/>
                <w:bCs/>
              </w:rPr>
              <w:t>European</w:t>
            </w:r>
            <w:proofErr w:type="spellEnd"/>
            <w:r>
              <w:rPr>
                <w:rFonts w:cs="Calibri"/>
                <w:bCs/>
              </w:rPr>
              <w:t xml:space="preserve"> </w:t>
            </w:r>
            <w:proofErr w:type="spellStart"/>
            <w:r>
              <w:rPr>
                <w:rFonts w:cs="Calibri"/>
                <w:bCs/>
              </w:rPr>
              <w:t>Parliament</w:t>
            </w:r>
            <w:proofErr w:type="spellEnd"/>
            <w:r>
              <w:rPr>
                <w:rFonts w:cs="Calibri"/>
                <w:bCs/>
              </w:rPr>
              <w:t xml:space="preserve"> and the Council on the </w:t>
            </w:r>
            <w:proofErr w:type="spellStart"/>
            <w:r>
              <w:rPr>
                <w:rFonts w:cs="Calibri"/>
                <w:bCs/>
              </w:rPr>
              <w:t>activities</w:t>
            </w:r>
            <w:proofErr w:type="spellEnd"/>
            <w:r>
              <w:rPr>
                <w:rFonts w:cs="Calibri"/>
                <w:bCs/>
              </w:rPr>
              <w:t xml:space="preserve"> of the EURODAC Central Unit in 2010</w:t>
            </w:r>
          </w:p>
        </w:tc>
      </w:tr>
      <w:tr w:rsidR="00090E05" w:rsidTr="000660A0">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090E05" w:rsidRDefault="00090E05">
            <w:pPr>
              <w:spacing w:after="0" w:line="240" w:lineRule="auto"/>
              <w:rPr>
                <w:rFonts w:cs="Calibri"/>
                <w:bCs/>
              </w:rPr>
            </w:pPr>
          </w:p>
        </w:tc>
        <w:tc>
          <w:tcPr>
            <w:tcW w:w="2996" w:type="dxa"/>
            <w:tcBorders>
              <w:top w:val="dashSmallGap" w:sz="4" w:space="0" w:color="auto"/>
              <w:left w:val="single" w:sz="4" w:space="0" w:color="000000"/>
              <w:bottom w:val="dashSmallGap" w:sz="4" w:space="0" w:color="auto"/>
              <w:right w:val="dashed" w:sz="4" w:space="0" w:color="auto"/>
            </w:tcBorders>
          </w:tcPr>
          <w:p w:rsidR="00090E05" w:rsidRDefault="00090E05" w:rsidP="000D680C">
            <w:pPr>
              <w:snapToGrid w:val="0"/>
              <w:spacing w:after="0" w:line="100" w:lineRule="atLeast"/>
              <w:rPr>
                <w:rFonts w:cs="Calibri"/>
                <w:bCs/>
              </w:rPr>
            </w:pPr>
            <w:proofErr w:type="spellStart"/>
            <w:r>
              <w:rPr>
                <w:rFonts w:cs="Calibri"/>
                <w:bCs/>
              </w:rPr>
              <w:t>Hungarian</w:t>
            </w:r>
            <w:proofErr w:type="spellEnd"/>
            <w:r>
              <w:rPr>
                <w:rFonts w:cs="Calibri"/>
                <w:bCs/>
              </w:rPr>
              <w:t xml:space="preserve"> Helsinki </w:t>
            </w:r>
            <w:proofErr w:type="spellStart"/>
            <w:r>
              <w:rPr>
                <w:rFonts w:cs="Calibri"/>
                <w:bCs/>
              </w:rPr>
              <w:t>Commitee</w:t>
            </w:r>
            <w:proofErr w:type="spellEnd"/>
          </w:p>
        </w:tc>
        <w:tc>
          <w:tcPr>
            <w:tcW w:w="3774" w:type="dxa"/>
            <w:tcBorders>
              <w:top w:val="dashSmallGap" w:sz="4" w:space="0" w:color="auto"/>
              <w:left w:val="dashed" w:sz="4" w:space="0" w:color="auto"/>
              <w:bottom w:val="dashSmallGap" w:sz="4" w:space="0" w:color="auto"/>
              <w:right w:val="single" w:sz="4" w:space="0" w:color="000000"/>
            </w:tcBorders>
          </w:tcPr>
          <w:p w:rsidR="00090E05" w:rsidRDefault="00090E05" w:rsidP="000D680C">
            <w:pPr>
              <w:snapToGrid w:val="0"/>
              <w:spacing w:after="0" w:line="100" w:lineRule="atLeast"/>
              <w:rPr>
                <w:rFonts w:cs="Calibri"/>
                <w:bCs/>
              </w:rPr>
            </w:pPr>
            <w:proofErr w:type="spellStart"/>
            <w:r>
              <w:rPr>
                <w:rFonts w:cs="Calibri"/>
                <w:bCs/>
              </w:rPr>
              <w:t>Stuck</w:t>
            </w:r>
            <w:proofErr w:type="spellEnd"/>
            <w:r>
              <w:rPr>
                <w:rFonts w:cs="Calibri"/>
                <w:bCs/>
              </w:rPr>
              <w:t xml:space="preserve"> in </w:t>
            </w:r>
            <w:proofErr w:type="spellStart"/>
            <w:r>
              <w:rPr>
                <w:rFonts w:cs="Calibri"/>
                <w:bCs/>
              </w:rPr>
              <w:t>Jail</w:t>
            </w:r>
            <w:proofErr w:type="spellEnd"/>
            <w:r>
              <w:rPr>
                <w:rFonts w:cs="Calibri"/>
                <w:bCs/>
              </w:rPr>
              <w:t xml:space="preserve"> (2010)</w:t>
            </w:r>
          </w:p>
        </w:tc>
      </w:tr>
      <w:tr w:rsidR="00090E05" w:rsidTr="000660A0">
        <w:trPr>
          <w:cantSplit/>
          <w:trHeight w:val="282"/>
        </w:trPr>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090E05" w:rsidRDefault="00090E05">
            <w:pPr>
              <w:spacing w:after="0" w:line="240" w:lineRule="auto"/>
              <w:rPr>
                <w:rFonts w:cs="Calibri"/>
                <w:bCs/>
              </w:rPr>
            </w:pPr>
          </w:p>
        </w:tc>
        <w:tc>
          <w:tcPr>
            <w:tcW w:w="2996" w:type="dxa"/>
            <w:tcBorders>
              <w:top w:val="dashSmallGap" w:sz="4" w:space="0" w:color="auto"/>
              <w:left w:val="single" w:sz="4" w:space="0" w:color="000000"/>
              <w:bottom w:val="dashSmallGap" w:sz="4" w:space="0" w:color="auto"/>
              <w:right w:val="dashed" w:sz="4" w:space="0" w:color="auto"/>
            </w:tcBorders>
          </w:tcPr>
          <w:p w:rsidR="00090E05" w:rsidRDefault="00090E05" w:rsidP="000D680C">
            <w:pPr>
              <w:snapToGrid w:val="0"/>
              <w:spacing w:after="0" w:line="100" w:lineRule="atLeast"/>
              <w:rPr>
                <w:rFonts w:cs="Calibri"/>
              </w:rPr>
            </w:pPr>
            <w:proofErr w:type="spellStart"/>
            <w:r>
              <w:rPr>
                <w:rFonts w:cs="Calibri"/>
              </w:rPr>
              <w:t>European</w:t>
            </w:r>
            <w:proofErr w:type="spellEnd"/>
            <w:r>
              <w:rPr>
                <w:rFonts w:cs="Calibri"/>
              </w:rPr>
              <w:t xml:space="preserve"> Migration Network</w:t>
            </w:r>
          </w:p>
        </w:tc>
        <w:tc>
          <w:tcPr>
            <w:tcW w:w="3774" w:type="dxa"/>
            <w:tcBorders>
              <w:top w:val="dashSmallGap" w:sz="4" w:space="0" w:color="auto"/>
              <w:left w:val="dashed" w:sz="4" w:space="0" w:color="auto"/>
              <w:bottom w:val="dashSmallGap" w:sz="4" w:space="0" w:color="auto"/>
              <w:right w:val="single" w:sz="4" w:space="0" w:color="000000"/>
            </w:tcBorders>
          </w:tcPr>
          <w:p w:rsidR="00090E05" w:rsidRDefault="00090E05" w:rsidP="000D680C">
            <w:pPr>
              <w:snapToGrid w:val="0"/>
              <w:spacing w:after="0" w:line="100" w:lineRule="atLeast"/>
              <w:rPr>
                <w:rFonts w:cs="Calibri"/>
              </w:rPr>
            </w:pPr>
            <w:proofErr w:type="spellStart"/>
            <w:r>
              <w:rPr>
                <w:rFonts w:cs="Calibri"/>
              </w:rPr>
              <w:t>Annual</w:t>
            </w:r>
            <w:proofErr w:type="spellEnd"/>
            <w:r>
              <w:rPr>
                <w:rFonts w:cs="Calibri"/>
              </w:rPr>
              <w:t xml:space="preserve"> Policy Report 2010</w:t>
            </w:r>
          </w:p>
        </w:tc>
      </w:tr>
      <w:tr w:rsidR="00090E05" w:rsidTr="000660A0">
        <w:trPr>
          <w:cantSplit/>
          <w:trHeight w:val="282"/>
        </w:trPr>
        <w:tc>
          <w:tcPr>
            <w:tcW w:w="2694" w:type="dxa"/>
            <w:gridSpan w:val="2"/>
            <w:tcBorders>
              <w:top w:val="single" w:sz="4" w:space="0" w:color="000000"/>
              <w:left w:val="single" w:sz="4" w:space="0" w:color="000000"/>
              <w:bottom w:val="single" w:sz="4" w:space="0" w:color="000000"/>
              <w:right w:val="single" w:sz="4" w:space="0" w:color="000000"/>
            </w:tcBorders>
            <w:vAlign w:val="center"/>
            <w:hideMark/>
          </w:tcPr>
          <w:p w:rsidR="00090E05" w:rsidRDefault="00090E05">
            <w:pPr>
              <w:spacing w:after="0" w:line="240" w:lineRule="auto"/>
              <w:rPr>
                <w:rFonts w:cs="Calibri"/>
                <w:bCs/>
              </w:rPr>
            </w:pPr>
          </w:p>
        </w:tc>
        <w:tc>
          <w:tcPr>
            <w:tcW w:w="2996" w:type="dxa"/>
            <w:tcBorders>
              <w:top w:val="dashSmallGap" w:sz="4" w:space="0" w:color="auto"/>
              <w:left w:val="single" w:sz="4" w:space="0" w:color="000000"/>
              <w:bottom w:val="single" w:sz="4" w:space="0" w:color="000000"/>
              <w:right w:val="dashed" w:sz="4" w:space="0" w:color="auto"/>
            </w:tcBorders>
          </w:tcPr>
          <w:p w:rsidR="00090E05" w:rsidRDefault="00090E05" w:rsidP="000D680C">
            <w:pPr>
              <w:snapToGrid w:val="0"/>
              <w:spacing w:after="0" w:line="100" w:lineRule="atLeast"/>
              <w:rPr>
                <w:rFonts w:cs="Calibri"/>
              </w:rPr>
            </w:pPr>
            <w:r>
              <w:rPr>
                <w:rFonts w:cs="Calibri"/>
              </w:rPr>
              <w:t xml:space="preserve">US </w:t>
            </w:r>
            <w:proofErr w:type="spellStart"/>
            <w:r>
              <w:rPr>
                <w:rFonts w:cs="Calibri"/>
              </w:rPr>
              <w:t>Department</w:t>
            </w:r>
            <w:proofErr w:type="spellEnd"/>
            <w:r>
              <w:rPr>
                <w:rFonts w:cs="Calibri"/>
              </w:rPr>
              <w:t xml:space="preserve"> of State</w:t>
            </w:r>
          </w:p>
        </w:tc>
        <w:tc>
          <w:tcPr>
            <w:tcW w:w="3774" w:type="dxa"/>
            <w:tcBorders>
              <w:top w:val="dashSmallGap" w:sz="4" w:space="0" w:color="auto"/>
              <w:left w:val="dashed" w:sz="4" w:space="0" w:color="auto"/>
              <w:bottom w:val="single" w:sz="4" w:space="0" w:color="000000"/>
              <w:right w:val="single" w:sz="4" w:space="0" w:color="000000"/>
            </w:tcBorders>
          </w:tcPr>
          <w:p w:rsidR="00090E05" w:rsidRDefault="00090E05" w:rsidP="000D680C">
            <w:pPr>
              <w:snapToGrid w:val="0"/>
              <w:spacing w:after="0" w:line="100" w:lineRule="atLeast"/>
              <w:rPr>
                <w:rFonts w:cs="Calibri"/>
              </w:rPr>
            </w:pPr>
            <w:proofErr w:type="spellStart"/>
            <w:r>
              <w:rPr>
                <w:rFonts w:cs="Calibri"/>
              </w:rPr>
              <w:t>Human</w:t>
            </w:r>
            <w:proofErr w:type="spellEnd"/>
            <w:r>
              <w:rPr>
                <w:rFonts w:cs="Calibri"/>
              </w:rPr>
              <w:t xml:space="preserve"> </w:t>
            </w:r>
            <w:proofErr w:type="spellStart"/>
            <w:r>
              <w:rPr>
                <w:rFonts w:cs="Calibri"/>
              </w:rPr>
              <w:t>Rights</w:t>
            </w:r>
            <w:proofErr w:type="spellEnd"/>
            <w:r>
              <w:rPr>
                <w:rFonts w:cs="Calibri"/>
              </w:rPr>
              <w:t xml:space="preserve"> Reports : </w:t>
            </w:r>
            <w:proofErr w:type="spellStart"/>
            <w:r>
              <w:rPr>
                <w:rFonts w:cs="Calibri"/>
              </w:rPr>
              <w:t>Hungary</w:t>
            </w:r>
            <w:proofErr w:type="spellEnd"/>
            <w:r>
              <w:rPr>
                <w:rFonts w:cs="Calibri"/>
              </w:rPr>
              <w:t xml:space="preserve"> (2010)</w:t>
            </w:r>
          </w:p>
        </w:tc>
      </w:tr>
      <w:tr w:rsidR="00090E05" w:rsidTr="000660A0">
        <w:tc>
          <w:tcPr>
            <w:tcW w:w="2694" w:type="dxa"/>
            <w:gridSpan w:val="2"/>
            <w:tcBorders>
              <w:top w:val="single" w:sz="4" w:space="0" w:color="000000"/>
              <w:left w:val="single" w:sz="4" w:space="0" w:color="000000"/>
              <w:bottom w:val="single" w:sz="4" w:space="0" w:color="000000"/>
              <w:right w:val="single" w:sz="4" w:space="0" w:color="000000"/>
            </w:tcBorders>
          </w:tcPr>
          <w:p w:rsidR="00090E05" w:rsidRDefault="00090E05">
            <w:pPr>
              <w:spacing w:after="0" w:line="240" w:lineRule="auto"/>
              <w:rPr>
                <w:rFonts w:cs="Calibri"/>
              </w:rPr>
            </w:pPr>
            <w:r>
              <w:rPr>
                <w:rFonts w:cs="Calibri"/>
              </w:rPr>
              <w:t>Observations/</w:t>
            </w:r>
            <w:proofErr w:type="spellStart"/>
            <w:r>
              <w:rPr>
                <w:rFonts w:cs="Calibri"/>
              </w:rPr>
              <w:t>Comments</w:t>
            </w:r>
            <w:proofErr w:type="spellEnd"/>
          </w:p>
          <w:p w:rsidR="00090E05" w:rsidRDefault="00090E05">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090E05" w:rsidRDefault="00090E05" w:rsidP="000660A0">
            <w:pPr>
              <w:spacing w:after="0" w:line="240" w:lineRule="auto"/>
              <w:jc w:val="both"/>
              <w:rPr>
                <w:rFonts w:cs="Calibri"/>
                <w:b/>
              </w:rPr>
            </w:pPr>
            <w:r w:rsidRPr="009E3742">
              <w:rPr>
                <w:rFonts w:cs="Calibri"/>
                <w:b/>
              </w:rPr>
              <w:t xml:space="preserve">This </w:t>
            </w:r>
            <w:proofErr w:type="spellStart"/>
            <w:r w:rsidRPr="009E3742">
              <w:rPr>
                <w:rFonts w:cs="Calibri"/>
                <w:b/>
              </w:rPr>
              <w:t>decision</w:t>
            </w:r>
            <w:proofErr w:type="spellEnd"/>
            <w:r w:rsidRPr="009E3742">
              <w:rPr>
                <w:rFonts w:cs="Calibri"/>
                <w:b/>
              </w:rPr>
              <w:t xml:space="preserve"> </w:t>
            </w:r>
            <w:proofErr w:type="spellStart"/>
            <w:r w:rsidRPr="009E3742">
              <w:rPr>
                <w:rFonts w:cs="Calibri"/>
                <w:b/>
              </w:rPr>
              <w:t>is</w:t>
            </w:r>
            <w:proofErr w:type="spellEnd"/>
            <w:r w:rsidRPr="009E3742">
              <w:rPr>
                <w:rFonts w:cs="Calibri"/>
                <w:b/>
              </w:rPr>
              <w:t xml:space="preserve"> </w:t>
            </w:r>
            <w:proofErr w:type="spellStart"/>
            <w:r w:rsidRPr="009E3742">
              <w:rPr>
                <w:rFonts w:cs="Calibri"/>
                <w:b/>
              </w:rPr>
              <w:t>only</w:t>
            </w:r>
            <w:proofErr w:type="spellEnd"/>
            <w:r w:rsidRPr="009E3742">
              <w:rPr>
                <w:rFonts w:cs="Calibri"/>
                <w:b/>
              </w:rPr>
              <w:t xml:space="preserve"> relevant to </w:t>
            </w:r>
            <w:proofErr w:type="spellStart"/>
            <w:r w:rsidRPr="009E3742">
              <w:rPr>
                <w:rFonts w:cs="Calibri"/>
                <w:b/>
              </w:rPr>
              <w:t>asylum</w:t>
            </w:r>
            <w:proofErr w:type="spellEnd"/>
            <w:r w:rsidRPr="009E3742">
              <w:rPr>
                <w:rFonts w:cs="Calibri"/>
                <w:b/>
              </w:rPr>
              <w:t xml:space="preserve"> </w:t>
            </w:r>
            <w:proofErr w:type="spellStart"/>
            <w:r w:rsidRPr="009E3742">
              <w:rPr>
                <w:rFonts w:cs="Calibri"/>
                <w:b/>
              </w:rPr>
              <w:t>seekers</w:t>
            </w:r>
            <w:proofErr w:type="spellEnd"/>
            <w:r w:rsidRPr="009E3742">
              <w:rPr>
                <w:rFonts w:cs="Calibri"/>
                <w:b/>
              </w:rPr>
              <w:t xml:space="preserve"> </w:t>
            </w:r>
            <w:proofErr w:type="spellStart"/>
            <w:r w:rsidRPr="009E3742">
              <w:rPr>
                <w:rFonts w:cs="Calibri"/>
                <w:b/>
              </w:rPr>
              <w:t>who</w:t>
            </w:r>
            <w:proofErr w:type="spellEnd"/>
            <w:r w:rsidRPr="009E3742">
              <w:rPr>
                <w:rFonts w:cs="Calibri"/>
                <w:b/>
              </w:rPr>
              <w:t xml:space="preserve"> </w:t>
            </w:r>
            <w:proofErr w:type="spellStart"/>
            <w:r w:rsidRPr="009E3742">
              <w:rPr>
                <w:rFonts w:cs="Calibri"/>
                <w:b/>
              </w:rPr>
              <w:t>applied</w:t>
            </w:r>
            <w:proofErr w:type="spellEnd"/>
            <w:r w:rsidRPr="009E3742">
              <w:rPr>
                <w:rFonts w:cs="Calibri"/>
                <w:b/>
              </w:rPr>
              <w:t xml:space="preserve"> for </w:t>
            </w:r>
            <w:proofErr w:type="spellStart"/>
            <w:r w:rsidRPr="009E3742">
              <w:rPr>
                <w:rFonts w:cs="Calibri"/>
                <w:b/>
              </w:rPr>
              <w:t>asylum</w:t>
            </w:r>
            <w:proofErr w:type="spellEnd"/>
            <w:r w:rsidRPr="009E3742">
              <w:rPr>
                <w:rFonts w:cs="Calibri"/>
                <w:b/>
              </w:rPr>
              <w:t xml:space="preserve"> in </w:t>
            </w:r>
            <w:proofErr w:type="spellStart"/>
            <w:r w:rsidRPr="009E3742">
              <w:rPr>
                <w:rFonts w:cs="Calibri"/>
                <w:b/>
              </w:rPr>
              <w:t>Greece</w:t>
            </w:r>
            <w:proofErr w:type="spellEnd"/>
            <w:r w:rsidRPr="009E3742">
              <w:rPr>
                <w:rFonts w:cs="Calibri"/>
                <w:b/>
              </w:rPr>
              <w:t xml:space="preserve">. If a </w:t>
            </w:r>
            <w:proofErr w:type="spellStart"/>
            <w:r w:rsidRPr="009E3742">
              <w:rPr>
                <w:rFonts w:cs="Calibri"/>
                <w:b/>
              </w:rPr>
              <w:t>person</w:t>
            </w:r>
            <w:proofErr w:type="spellEnd"/>
            <w:r w:rsidRPr="009E3742">
              <w:rPr>
                <w:rFonts w:cs="Calibri"/>
                <w:b/>
              </w:rPr>
              <w:t xml:space="preserve"> </w:t>
            </w:r>
            <w:proofErr w:type="spellStart"/>
            <w:r w:rsidRPr="009E3742">
              <w:rPr>
                <w:rFonts w:cs="Calibri"/>
                <w:b/>
              </w:rPr>
              <w:t>just</w:t>
            </w:r>
            <w:proofErr w:type="spellEnd"/>
            <w:r w:rsidRPr="009E3742">
              <w:rPr>
                <w:rFonts w:cs="Calibri"/>
                <w:b/>
              </w:rPr>
              <w:t xml:space="preserve"> </w:t>
            </w:r>
            <w:proofErr w:type="spellStart"/>
            <w:r w:rsidRPr="009E3742">
              <w:rPr>
                <w:rFonts w:cs="Calibri"/>
                <w:b/>
              </w:rPr>
              <w:t>passed</w:t>
            </w:r>
            <w:proofErr w:type="spellEnd"/>
            <w:r w:rsidRPr="009E3742">
              <w:rPr>
                <w:rFonts w:cs="Calibri"/>
                <w:b/>
              </w:rPr>
              <w:t xml:space="preserve"> </w:t>
            </w:r>
            <w:proofErr w:type="spellStart"/>
            <w:r w:rsidRPr="009E3742">
              <w:rPr>
                <w:rFonts w:cs="Calibri"/>
                <w:b/>
              </w:rPr>
              <w:t>Greece</w:t>
            </w:r>
            <w:proofErr w:type="spellEnd"/>
            <w:r w:rsidRPr="009E3742">
              <w:rPr>
                <w:rFonts w:cs="Calibri"/>
                <w:b/>
              </w:rPr>
              <w:t xml:space="preserve"> and </w:t>
            </w:r>
            <w:proofErr w:type="spellStart"/>
            <w:r w:rsidRPr="009E3742">
              <w:rPr>
                <w:rFonts w:cs="Calibri"/>
                <w:b/>
              </w:rPr>
              <w:t>did</w:t>
            </w:r>
            <w:proofErr w:type="spellEnd"/>
            <w:r w:rsidRPr="009E3742">
              <w:rPr>
                <w:rFonts w:cs="Calibri"/>
                <w:b/>
              </w:rPr>
              <w:t xml:space="preserve"> not </w:t>
            </w:r>
            <w:proofErr w:type="spellStart"/>
            <w:r w:rsidRPr="009E3742">
              <w:rPr>
                <w:rFonts w:cs="Calibri"/>
                <w:b/>
              </w:rPr>
              <w:t>apply</w:t>
            </w:r>
            <w:proofErr w:type="spellEnd"/>
            <w:r w:rsidRPr="009E3742">
              <w:rPr>
                <w:rFonts w:cs="Calibri"/>
                <w:b/>
              </w:rPr>
              <w:t xml:space="preserve"> for </w:t>
            </w:r>
            <w:proofErr w:type="spellStart"/>
            <w:r w:rsidRPr="009E3742">
              <w:rPr>
                <w:rFonts w:cs="Calibri"/>
                <w:b/>
              </w:rPr>
              <w:t>asylum</w:t>
            </w:r>
            <w:proofErr w:type="spellEnd"/>
            <w:r w:rsidRPr="009E3742">
              <w:rPr>
                <w:rFonts w:cs="Calibri"/>
                <w:b/>
              </w:rPr>
              <w:t xml:space="preserve">, </w:t>
            </w:r>
            <w:r w:rsidRPr="009E3742">
              <w:rPr>
                <w:rFonts w:cs="Calibri"/>
                <w:b/>
              </w:rPr>
              <w:lastRenderedPageBreak/>
              <w:t xml:space="preserve">Art 16(3) Dublin II </w:t>
            </w:r>
            <w:proofErr w:type="spellStart"/>
            <w:r w:rsidRPr="009E3742">
              <w:rPr>
                <w:rFonts w:cs="Calibri"/>
                <w:b/>
              </w:rPr>
              <w:t>regulation</w:t>
            </w:r>
            <w:proofErr w:type="spellEnd"/>
            <w:r w:rsidRPr="009E3742">
              <w:rPr>
                <w:rFonts w:cs="Calibri"/>
                <w:b/>
              </w:rPr>
              <w:t xml:space="preserve"> </w:t>
            </w:r>
            <w:proofErr w:type="spellStart"/>
            <w:r w:rsidRPr="009E3742">
              <w:rPr>
                <w:rFonts w:cs="Calibri"/>
                <w:b/>
              </w:rPr>
              <w:t>does</w:t>
            </w:r>
            <w:proofErr w:type="spellEnd"/>
            <w:r w:rsidRPr="009E3742">
              <w:rPr>
                <w:rFonts w:cs="Calibri"/>
                <w:b/>
              </w:rPr>
              <w:t xml:space="preserve"> not </w:t>
            </w:r>
            <w:proofErr w:type="spellStart"/>
            <w:r w:rsidRPr="009E3742">
              <w:rPr>
                <w:rFonts w:cs="Calibri"/>
                <w:b/>
              </w:rPr>
              <w:t>apply</w:t>
            </w:r>
            <w:proofErr w:type="spellEnd"/>
            <w:r w:rsidRPr="009E3742">
              <w:rPr>
                <w:rFonts w:cs="Calibri"/>
                <w:b/>
              </w:rPr>
              <w:t>.</w:t>
            </w:r>
          </w:p>
        </w:tc>
      </w:tr>
    </w:tbl>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36" w:rsidRDefault="00996C36" w:rsidP="00996C36">
      <w:pPr>
        <w:spacing w:after="0" w:line="240" w:lineRule="auto"/>
      </w:pPr>
      <w:r>
        <w:separator/>
      </w:r>
    </w:p>
  </w:endnote>
  <w:endnote w:type="continuationSeparator" w:id="0">
    <w:p w:rsidR="00996C36" w:rsidRDefault="00996C36"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36" w:rsidRDefault="00996C36" w:rsidP="00996C36">
      <w:pPr>
        <w:spacing w:after="0" w:line="240" w:lineRule="auto"/>
      </w:pPr>
      <w:r>
        <w:separator/>
      </w:r>
    </w:p>
  </w:footnote>
  <w:footnote w:type="continuationSeparator" w:id="0">
    <w:p w:rsidR="00996C36" w:rsidRDefault="00996C36" w:rsidP="00996C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0660A0"/>
    <w:rsid w:val="00090E05"/>
    <w:rsid w:val="000F50BE"/>
    <w:rsid w:val="00132795"/>
    <w:rsid w:val="00230ADF"/>
    <w:rsid w:val="002E7524"/>
    <w:rsid w:val="003914EF"/>
    <w:rsid w:val="004A0E3D"/>
    <w:rsid w:val="005125CA"/>
    <w:rsid w:val="005B4700"/>
    <w:rsid w:val="007B31A6"/>
    <w:rsid w:val="0083197B"/>
    <w:rsid w:val="00996C36"/>
    <w:rsid w:val="00AB7286"/>
    <w:rsid w:val="00C63958"/>
    <w:rsid w:val="00CA74B6"/>
    <w:rsid w:val="00D15CD2"/>
    <w:rsid w:val="00DF5299"/>
    <w:rsid w:val="00E465FA"/>
    <w:rsid w:val="00E72177"/>
    <w:rsid w:val="00FC3F4B"/>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4659</Characters>
  <Application>Microsoft Macintosh Word</Application>
  <DocSecurity>0</DocSecurity>
  <Lines>38</Lines>
  <Paragraphs>10</Paragraphs>
  <ScaleCrop>false</ScaleCrop>
  <Company>TU Wien - Campusversion</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dc:creator>
  <cp:lastModifiedBy>Kajsa Berg</cp:lastModifiedBy>
  <cp:revision>2</cp:revision>
  <dcterms:created xsi:type="dcterms:W3CDTF">2013-08-19T16:11:00Z</dcterms:created>
  <dcterms:modified xsi:type="dcterms:W3CDTF">2013-08-19T16:11:00Z</dcterms:modified>
</cp:coreProperties>
</file>