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0C9" w:rsidRPr="00F74A42" w:rsidRDefault="007D20C9" w:rsidP="007D20C9">
      <w:pPr>
        <w:pBdr>
          <w:top w:val="single" w:sz="6" w:space="15" w:color="D9D9D9"/>
        </w:pBdr>
        <w:spacing w:after="0" w:line="210" w:lineRule="atLeast"/>
        <w:outlineLvl w:val="1"/>
        <w:rPr>
          <w:rFonts w:ascii="Verdana" w:eastAsia="Times New Roman" w:hAnsi="Verdana" w:cs="Times New Roman"/>
          <w:b/>
          <w:bCs/>
          <w:color w:val="333333"/>
          <w:sz w:val="33"/>
          <w:szCs w:val="33"/>
          <w:lang w:val="fr-BE"/>
        </w:rPr>
      </w:pPr>
      <w:bookmarkStart w:id="0" w:name="_GoBack"/>
      <w:bookmarkEnd w:id="0"/>
      <w:r w:rsidRPr="00F74A42">
        <w:rPr>
          <w:rFonts w:ascii="Verdana" w:hAnsi="Verdana"/>
          <w:b/>
          <w:color w:val="333333"/>
          <w:sz w:val="33"/>
          <w:lang w:val="fr-BE"/>
        </w:rPr>
        <w:t>ECLI:NL:RBDHA:2016:6018</w:t>
      </w:r>
    </w:p>
    <w:p w:rsidR="007D20C9" w:rsidRPr="00F74A42" w:rsidRDefault="007D20C9" w:rsidP="007D20C9">
      <w:pPr>
        <w:spacing w:after="0" w:line="240" w:lineRule="atLeast"/>
        <w:rPr>
          <w:rFonts w:ascii="Verdana" w:eastAsia="Times New Roman" w:hAnsi="Verdana" w:cs="Times New Roman"/>
          <w:color w:val="000000"/>
          <w:sz w:val="18"/>
          <w:szCs w:val="18"/>
          <w:lang w:val="fr-BE"/>
        </w:rPr>
      </w:pPr>
      <w:r w:rsidRPr="00F74A42">
        <w:rPr>
          <w:rFonts w:ascii="Verdana" w:hAnsi="Verdana"/>
          <w:color w:val="000000"/>
          <w:sz w:val="18"/>
          <w:lang w:val="fr-BE"/>
        </w:rPr>
        <w:t>Permanent Link: </w:t>
      </w:r>
      <w:r w:rsidRPr="00F74A42">
        <w:rPr>
          <w:rFonts w:ascii="Verdana" w:eastAsia="Times New Roman" w:hAnsi="Verdana" w:cs="Times New Roman"/>
          <w:color w:val="000000"/>
          <w:sz w:val="18"/>
          <w:szCs w:val="18"/>
          <w:lang w:val="fr-BE"/>
        </w:rPr>
        <w:br/>
      </w:r>
      <w:r>
        <w:rPr>
          <w:rFonts w:ascii="Verdana" w:eastAsia="Times New Roman" w:hAnsi="Verdana" w:cs="Times New Roman"/>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18pt" o:ole="">
            <v:imagedata r:id="rId6" o:title=""/>
          </v:shape>
          <w:control r:id="rId7" w:name="DefaultOcxName" w:shapeid="_x0000_i1029"/>
        </w:object>
      </w:r>
    </w:p>
    <w:p w:rsidR="007D20C9" w:rsidRPr="007D20C9" w:rsidRDefault="007D20C9" w:rsidP="007D20C9">
      <w:pPr>
        <w:spacing w:before="48" w:after="48" w:line="240" w:lineRule="atLeast"/>
        <w:rPr>
          <w:rFonts w:ascii="Verdana" w:eastAsia="Times New Roman" w:hAnsi="Verdana" w:cs="Times New Roman"/>
          <w:color w:val="666666"/>
          <w:sz w:val="20"/>
          <w:szCs w:val="20"/>
        </w:rPr>
      </w:pPr>
      <w:r>
        <w:rPr>
          <w:rFonts w:ascii="Verdana" w:hAnsi="Verdana"/>
          <w:color w:val="666666"/>
          <w:sz w:val="20"/>
        </w:rPr>
        <w:t>Authority</w:t>
      </w:r>
    </w:p>
    <w:p w:rsidR="007D20C9" w:rsidRPr="007D20C9" w:rsidRDefault="007D20C9" w:rsidP="007D20C9">
      <w:pPr>
        <w:spacing w:before="48" w:after="48" w:line="240" w:lineRule="atLeast"/>
        <w:ind w:left="4395"/>
        <w:rPr>
          <w:rFonts w:ascii="Verdana" w:eastAsia="Times New Roman" w:hAnsi="Verdana" w:cs="Times New Roman"/>
          <w:color w:val="333333"/>
          <w:sz w:val="20"/>
          <w:szCs w:val="20"/>
        </w:rPr>
      </w:pPr>
      <w:r>
        <w:rPr>
          <w:rFonts w:ascii="Verdana" w:hAnsi="Verdana"/>
          <w:color w:val="333333"/>
          <w:sz w:val="20"/>
        </w:rPr>
        <w:t>Court of the Hague</w:t>
      </w:r>
    </w:p>
    <w:p w:rsidR="007D20C9" w:rsidRPr="007D20C9" w:rsidRDefault="007D20C9" w:rsidP="007D20C9">
      <w:pPr>
        <w:spacing w:before="48" w:after="48" w:line="240" w:lineRule="atLeast"/>
        <w:rPr>
          <w:rFonts w:ascii="Verdana" w:eastAsia="Times New Roman" w:hAnsi="Verdana" w:cs="Times New Roman"/>
          <w:color w:val="666666"/>
          <w:sz w:val="20"/>
          <w:szCs w:val="20"/>
        </w:rPr>
      </w:pPr>
      <w:r>
        <w:rPr>
          <w:rFonts w:ascii="Verdana" w:hAnsi="Verdana"/>
          <w:color w:val="666666"/>
          <w:sz w:val="20"/>
        </w:rPr>
        <w:t>Date of verdict</w:t>
      </w:r>
    </w:p>
    <w:p w:rsidR="007D20C9" w:rsidRPr="007D20C9" w:rsidRDefault="007D20C9" w:rsidP="007D20C9">
      <w:pPr>
        <w:spacing w:before="48" w:after="48" w:line="240" w:lineRule="atLeast"/>
        <w:ind w:left="4395"/>
        <w:rPr>
          <w:rFonts w:ascii="Verdana" w:eastAsia="Times New Roman" w:hAnsi="Verdana" w:cs="Times New Roman"/>
          <w:color w:val="333333"/>
          <w:sz w:val="20"/>
          <w:szCs w:val="20"/>
        </w:rPr>
      </w:pPr>
      <w:r>
        <w:rPr>
          <w:rFonts w:ascii="Verdana" w:hAnsi="Verdana"/>
          <w:color w:val="333333"/>
          <w:sz w:val="20"/>
        </w:rPr>
        <w:t>13-05-2016</w:t>
      </w:r>
    </w:p>
    <w:p w:rsidR="007D20C9" w:rsidRPr="007D20C9" w:rsidRDefault="007D20C9" w:rsidP="007D20C9">
      <w:pPr>
        <w:spacing w:before="48" w:after="48" w:line="240" w:lineRule="atLeast"/>
        <w:rPr>
          <w:rFonts w:ascii="Verdana" w:eastAsia="Times New Roman" w:hAnsi="Verdana" w:cs="Times New Roman"/>
          <w:color w:val="666666"/>
          <w:sz w:val="20"/>
          <w:szCs w:val="20"/>
        </w:rPr>
      </w:pPr>
      <w:r>
        <w:rPr>
          <w:rFonts w:ascii="Verdana" w:hAnsi="Verdana"/>
          <w:color w:val="666666"/>
          <w:sz w:val="20"/>
        </w:rPr>
        <w:t>Date Of Publication</w:t>
      </w:r>
    </w:p>
    <w:p w:rsidR="007D20C9" w:rsidRPr="007D20C9" w:rsidRDefault="007D20C9" w:rsidP="007D20C9">
      <w:pPr>
        <w:spacing w:before="48" w:after="48" w:line="240" w:lineRule="atLeast"/>
        <w:ind w:left="4395"/>
        <w:rPr>
          <w:rFonts w:ascii="Verdana" w:eastAsia="Times New Roman" w:hAnsi="Verdana" w:cs="Times New Roman"/>
          <w:color w:val="333333"/>
          <w:sz w:val="20"/>
          <w:szCs w:val="20"/>
        </w:rPr>
      </w:pPr>
      <w:r>
        <w:rPr>
          <w:rFonts w:ascii="Verdana" w:hAnsi="Verdana"/>
          <w:color w:val="333333"/>
          <w:sz w:val="20"/>
        </w:rPr>
        <w:t>02-06-2016</w:t>
      </w:r>
    </w:p>
    <w:p w:rsidR="007D20C9" w:rsidRPr="007D20C9" w:rsidRDefault="007D20C9" w:rsidP="007D20C9">
      <w:pPr>
        <w:spacing w:before="48" w:after="48" w:line="240" w:lineRule="atLeast"/>
        <w:rPr>
          <w:rFonts w:ascii="Verdana" w:eastAsia="Times New Roman" w:hAnsi="Verdana" w:cs="Times New Roman"/>
          <w:color w:val="666666"/>
          <w:sz w:val="20"/>
          <w:szCs w:val="20"/>
        </w:rPr>
      </w:pPr>
      <w:r>
        <w:rPr>
          <w:rFonts w:ascii="Verdana" w:hAnsi="Verdana"/>
          <w:color w:val="666666"/>
          <w:sz w:val="20"/>
        </w:rPr>
        <w:t>Case number</w:t>
      </w:r>
    </w:p>
    <w:p w:rsidR="007D20C9" w:rsidRPr="007D20C9" w:rsidRDefault="007D20C9" w:rsidP="007D20C9">
      <w:pPr>
        <w:spacing w:before="48" w:after="48" w:line="240" w:lineRule="atLeast"/>
        <w:ind w:left="4395"/>
        <w:rPr>
          <w:rFonts w:ascii="Verdana" w:eastAsia="Times New Roman" w:hAnsi="Verdana" w:cs="Times New Roman"/>
          <w:color w:val="333333"/>
          <w:sz w:val="20"/>
          <w:szCs w:val="20"/>
        </w:rPr>
      </w:pPr>
      <w:r>
        <w:rPr>
          <w:rFonts w:ascii="Verdana" w:hAnsi="Verdana"/>
          <w:color w:val="333333"/>
          <w:sz w:val="20"/>
        </w:rPr>
        <w:t>16/7663 and 16/7665</w:t>
      </w:r>
    </w:p>
    <w:p w:rsidR="007D20C9" w:rsidRPr="007D20C9" w:rsidRDefault="007D20C9" w:rsidP="007D20C9">
      <w:pPr>
        <w:spacing w:before="48" w:after="48" w:line="240" w:lineRule="atLeast"/>
        <w:rPr>
          <w:rFonts w:ascii="Verdana" w:eastAsia="Times New Roman" w:hAnsi="Verdana" w:cs="Times New Roman"/>
          <w:color w:val="666666"/>
          <w:sz w:val="20"/>
          <w:szCs w:val="20"/>
        </w:rPr>
      </w:pPr>
      <w:r>
        <w:rPr>
          <w:rFonts w:ascii="Verdana" w:hAnsi="Verdana"/>
          <w:color w:val="666666"/>
          <w:sz w:val="20"/>
        </w:rPr>
        <w:t>Formal relations</w:t>
      </w:r>
    </w:p>
    <w:p w:rsidR="007D20C9" w:rsidRPr="007D20C9" w:rsidRDefault="007D20C9" w:rsidP="007D20C9">
      <w:pPr>
        <w:spacing w:before="48" w:after="48" w:line="240" w:lineRule="atLeast"/>
        <w:ind w:left="4395"/>
        <w:rPr>
          <w:rFonts w:ascii="Verdana" w:eastAsia="Times New Roman" w:hAnsi="Verdana" w:cs="Times New Roman"/>
          <w:color w:val="333333"/>
          <w:sz w:val="20"/>
          <w:szCs w:val="20"/>
        </w:rPr>
      </w:pPr>
      <w:r>
        <w:rPr>
          <w:rFonts w:ascii="Verdana" w:hAnsi="Verdana"/>
          <w:color w:val="333333"/>
          <w:sz w:val="20"/>
        </w:rPr>
        <w:t>Appeal </w:t>
      </w:r>
      <w:hyperlink r:id="rId8">
        <w:r>
          <w:rPr>
            <w:rFonts w:ascii="Verdana" w:hAnsi="Verdana"/>
            <w:color w:val="A50061"/>
            <w:sz w:val="20"/>
            <w:u w:val="single"/>
          </w:rPr>
          <w:t>ECLI:NL:RVS:2016:2076</w:t>
        </w:r>
      </w:hyperlink>
      <w:r>
        <w:rPr>
          <w:rFonts w:ascii="Verdana" w:hAnsi="Verdana"/>
          <w:color w:val="333333"/>
          <w:sz w:val="20"/>
        </w:rPr>
        <w:t>, (Partial) overrulement and self dismissal </w:t>
      </w:r>
    </w:p>
    <w:p w:rsidR="007D20C9" w:rsidRPr="007D20C9" w:rsidRDefault="007D20C9" w:rsidP="007D20C9">
      <w:pPr>
        <w:spacing w:before="48" w:after="48" w:line="240" w:lineRule="atLeast"/>
        <w:rPr>
          <w:rFonts w:ascii="Verdana" w:eastAsia="Times New Roman" w:hAnsi="Verdana" w:cs="Times New Roman"/>
          <w:color w:val="666666"/>
          <w:sz w:val="20"/>
          <w:szCs w:val="20"/>
        </w:rPr>
      </w:pPr>
      <w:r>
        <w:rPr>
          <w:rFonts w:ascii="Verdana" w:hAnsi="Verdana"/>
          <w:color w:val="666666"/>
          <w:sz w:val="20"/>
        </w:rPr>
        <w:t>Jurisdictions</w:t>
      </w:r>
    </w:p>
    <w:p w:rsidR="007D20C9" w:rsidRPr="007D20C9" w:rsidRDefault="007D20C9" w:rsidP="007D20C9">
      <w:pPr>
        <w:spacing w:before="48" w:after="48" w:line="240" w:lineRule="atLeast"/>
        <w:ind w:left="4395"/>
        <w:rPr>
          <w:rFonts w:ascii="Verdana" w:eastAsia="Times New Roman" w:hAnsi="Verdana" w:cs="Times New Roman"/>
          <w:color w:val="333333"/>
          <w:sz w:val="20"/>
          <w:szCs w:val="20"/>
        </w:rPr>
      </w:pPr>
      <w:r>
        <w:rPr>
          <w:rFonts w:ascii="Verdana" w:hAnsi="Verdana"/>
          <w:color w:val="333333"/>
          <w:sz w:val="20"/>
        </w:rPr>
        <w:t>Immigration law</w:t>
      </w:r>
    </w:p>
    <w:p w:rsidR="007D20C9" w:rsidRPr="007D20C9" w:rsidRDefault="007D20C9" w:rsidP="007D20C9">
      <w:pPr>
        <w:spacing w:before="48" w:after="48" w:line="240" w:lineRule="atLeast"/>
        <w:rPr>
          <w:rFonts w:ascii="Verdana" w:eastAsia="Times New Roman" w:hAnsi="Verdana" w:cs="Times New Roman"/>
          <w:color w:val="666666"/>
          <w:sz w:val="20"/>
          <w:szCs w:val="20"/>
        </w:rPr>
      </w:pPr>
      <w:r>
        <w:rPr>
          <w:rFonts w:ascii="Verdana" w:hAnsi="Verdana"/>
          <w:color w:val="666666"/>
          <w:sz w:val="20"/>
        </w:rPr>
        <w:t>Special references</w:t>
      </w:r>
    </w:p>
    <w:p w:rsidR="007D20C9" w:rsidRPr="007D20C9" w:rsidRDefault="007D20C9" w:rsidP="007D20C9">
      <w:pPr>
        <w:spacing w:before="48" w:after="48" w:line="240" w:lineRule="atLeast"/>
        <w:ind w:left="4395"/>
        <w:rPr>
          <w:rFonts w:ascii="Verdana" w:eastAsia="Times New Roman" w:hAnsi="Verdana" w:cs="Times New Roman"/>
          <w:color w:val="333333"/>
          <w:sz w:val="20"/>
          <w:szCs w:val="20"/>
        </w:rPr>
      </w:pPr>
      <w:r>
        <w:rPr>
          <w:rFonts w:ascii="Verdana" w:hAnsi="Verdana"/>
          <w:color w:val="333333"/>
          <w:sz w:val="20"/>
        </w:rPr>
        <w:t>First instance - single</w:t>
      </w:r>
      <w:r>
        <w:rPr>
          <w:rFonts w:ascii="Verdana" w:eastAsia="Times New Roman" w:hAnsi="Verdana" w:cs="Times New Roman"/>
          <w:color w:val="333333"/>
          <w:sz w:val="20"/>
          <w:szCs w:val="20"/>
        </w:rPr>
        <w:br/>
      </w:r>
      <w:r>
        <w:rPr>
          <w:rFonts w:ascii="Verdana" w:hAnsi="Verdana"/>
          <w:color w:val="333333"/>
          <w:sz w:val="20"/>
        </w:rPr>
        <w:t xml:space="preserve">Provisional injunction </w:t>
      </w:r>
    </w:p>
    <w:p w:rsidR="007D20C9" w:rsidRPr="007D20C9" w:rsidRDefault="007D20C9" w:rsidP="007D20C9">
      <w:pPr>
        <w:spacing w:before="48" w:after="48" w:line="240" w:lineRule="atLeast"/>
        <w:rPr>
          <w:rFonts w:ascii="Verdana" w:eastAsia="Times New Roman" w:hAnsi="Verdana" w:cs="Times New Roman"/>
          <w:color w:val="666666"/>
          <w:sz w:val="20"/>
          <w:szCs w:val="20"/>
        </w:rPr>
      </w:pPr>
      <w:r>
        <w:rPr>
          <w:rFonts w:ascii="Verdana" w:hAnsi="Verdana"/>
          <w:color w:val="666666"/>
          <w:sz w:val="20"/>
        </w:rPr>
        <w:t>Content indication</w:t>
      </w:r>
    </w:p>
    <w:p w:rsidR="007D20C9" w:rsidRPr="007D20C9" w:rsidRDefault="007D20C9" w:rsidP="007D20C9">
      <w:pPr>
        <w:spacing w:after="375" w:line="240" w:lineRule="atLeast"/>
        <w:ind w:left="4395"/>
        <w:rPr>
          <w:rFonts w:ascii="Verdana" w:eastAsia="Times New Roman" w:hAnsi="Verdana" w:cs="Times New Roman"/>
          <w:color w:val="333333"/>
          <w:sz w:val="20"/>
          <w:szCs w:val="20"/>
        </w:rPr>
      </w:pPr>
      <w:r>
        <w:rPr>
          <w:rFonts w:ascii="Verdana" w:hAnsi="Verdana"/>
          <w:color w:val="333333"/>
          <w:sz w:val="20"/>
        </w:rPr>
        <w:t>Key words: Dublin, Bulgaria, information obligation</w:t>
      </w:r>
    </w:p>
    <w:p w:rsidR="007D20C9" w:rsidRPr="007D20C9" w:rsidRDefault="007D20C9" w:rsidP="007D20C9">
      <w:pPr>
        <w:spacing w:after="375" w:line="240" w:lineRule="atLeast"/>
        <w:ind w:left="4395"/>
        <w:rPr>
          <w:rFonts w:ascii="Verdana" w:eastAsia="Times New Roman" w:hAnsi="Verdana" w:cs="Times New Roman"/>
          <w:color w:val="333333"/>
          <w:sz w:val="20"/>
          <w:szCs w:val="20"/>
        </w:rPr>
      </w:pPr>
      <w:r>
        <w:rPr>
          <w:rFonts w:ascii="Verdana" w:hAnsi="Verdana"/>
          <w:color w:val="333333"/>
          <w:sz w:val="20"/>
        </w:rPr>
        <w:t>Articles of law: article 20, paragraph 5, Dublin Regulation, article 3 of the ECHR, article 4 Charter</w:t>
      </w:r>
    </w:p>
    <w:p w:rsidR="007D20C9" w:rsidRPr="007D20C9" w:rsidRDefault="007D20C9" w:rsidP="007D20C9">
      <w:pPr>
        <w:spacing w:after="375" w:line="240" w:lineRule="atLeast"/>
        <w:ind w:left="4395"/>
        <w:rPr>
          <w:rFonts w:ascii="Verdana" w:eastAsia="Times New Roman" w:hAnsi="Verdana" w:cs="Times New Roman"/>
          <w:color w:val="333333"/>
          <w:sz w:val="20"/>
          <w:szCs w:val="20"/>
        </w:rPr>
      </w:pPr>
      <w:r>
        <w:rPr>
          <w:rFonts w:ascii="Verdana" w:hAnsi="Verdana"/>
          <w:color w:val="333333"/>
          <w:sz w:val="20"/>
        </w:rPr>
        <w:t>Summary:</w:t>
      </w:r>
    </w:p>
    <w:p w:rsidR="007D20C9" w:rsidRPr="007D20C9" w:rsidRDefault="007D20C9" w:rsidP="007D20C9">
      <w:pPr>
        <w:spacing w:after="375" w:line="240" w:lineRule="atLeast"/>
        <w:ind w:left="4395"/>
        <w:rPr>
          <w:rFonts w:ascii="Verdana" w:eastAsia="Times New Roman" w:hAnsi="Verdana" w:cs="Times New Roman"/>
          <w:color w:val="333333"/>
          <w:sz w:val="20"/>
          <w:szCs w:val="20"/>
        </w:rPr>
      </w:pPr>
      <w:r>
        <w:rPr>
          <w:rFonts w:ascii="Verdana" w:hAnsi="Verdana"/>
          <w:color w:val="333333"/>
          <w:sz w:val="20"/>
        </w:rPr>
        <w:t xml:space="preserve">Bulgaria has accepted the return request of the Netherlands under article 20, paragraph 5, of the Dublin Regulation. The parties are discussing what this acceptance ground says about the status of the asylum procedure of claimants in Bulgaria. The status of the asylum procedure in Bulgaria is of interest for the answer to the question as to how the claimant will be accommodated upon return. The Court considers that it follows in article 20, paragraph 5 that Bulgaria assumes that the claimant's first application for international protection that he has submitted to the Bulgarian authorities, has been repealed. The Court therefore cannot follow the defendant's position that it is apparent from the ground for acceptance that the claimant's asylum procedure is still running in Bulgaria. The claimant has stated that there is a real risk upon return to Bulgaria for treatment contrary to article 3 of </w:t>
      </w:r>
      <w:r>
        <w:rPr>
          <w:rFonts w:ascii="Verdana" w:hAnsi="Verdana"/>
          <w:color w:val="333333"/>
          <w:sz w:val="20"/>
        </w:rPr>
        <w:lastRenderedPageBreak/>
        <w:t>the ECHR and/or 4 of the Charter. In this context, he appealed among other things to the Aida report of October 2015 and the ECRE/ELENA report of February 2016. The reports quoted by the claimant doesn't show whether an alien whose application for international protection has been withdrawn in Bulgaria and who returns to Bulgaria in the framework of the Dublin Regulation, as in this case, is detained or transferred to an refugee centre after arriving in Bulgaria. In the Court's opinion it cannot be ruled out that the claimant will be detained after his transfer to Bulgaria. Considering the detention conditions that are apparent from the reports and alleged by the claimant and personal experiences in detention in Bulgaria deemed credible by the defendant, the Court takes the view that the defendant, given its duty to inform himself, shouldn't have assumed without further investigation that no situation will arise that would be contrary to article 3 of the ECHR with the transfer of the claimant to Bulgaria. The defendant incorrectly assumed that the asylum request of the claimant is still running in Bulgaria and insufficiently motivated his position as to what may be awaiting the claimant in Bulgaria.</w:t>
      </w:r>
    </w:p>
    <w:p w:rsidR="007D20C9" w:rsidRPr="007D20C9" w:rsidRDefault="007D20C9" w:rsidP="007D20C9">
      <w:pPr>
        <w:spacing w:after="375" w:line="240" w:lineRule="atLeast"/>
        <w:ind w:left="4395"/>
        <w:rPr>
          <w:rFonts w:ascii="Verdana" w:eastAsia="Times New Roman" w:hAnsi="Verdana" w:cs="Times New Roman"/>
          <w:color w:val="333333"/>
          <w:sz w:val="20"/>
          <w:szCs w:val="20"/>
        </w:rPr>
      </w:pPr>
      <w:r>
        <w:rPr>
          <w:rFonts w:ascii="Verdana" w:hAnsi="Verdana"/>
          <w:color w:val="333333"/>
          <w:sz w:val="20"/>
        </w:rPr>
        <w:t>The appeal is well founded and the contested decision is overruled because it is in breach of the provisions of article 3:46 of the CC. Defendant is instructed to take a new decision.  Injunctive relief is dismissed.</w:t>
      </w:r>
    </w:p>
    <w:p w:rsidR="007D20C9" w:rsidRPr="007D20C9" w:rsidRDefault="007D20C9" w:rsidP="007D20C9">
      <w:pPr>
        <w:spacing w:before="48" w:after="48" w:line="240" w:lineRule="atLeast"/>
        <w:rPr>
          <w:rFonts w:ascii="Verdana" w:eastAsia="Times New Roman" w:hAnsi="Verdana" w:cs="Times New Roman"/>
          <w:color w:val="666666"/>
          <w:sz w:val="20"/>
          <w:szCs w:val="20"/>
        </w:rPr>
      </w:pPr>
      <w:r>
        <w:rPr>
          <w:rFonts w:ascii="Verdana" w:hAnsi="Verdana"/>
          <w:color w:val="666666"/>
          <w:sz w:val="20"/>
        </w:rPr>
        <w:t>Locations</w:t>
      </w:r>
    </w:p>
    <w:p w:rsidR="007D20C9" w:rsidRPr="007D20C9" w:rsidRDefault="007D20C9" w:rsidP="007D20C9">
      <w:pPr>
        <w:spacing w:before="48" w:after="48" w:line="240" w:lineRule="atLeast"/>
        <w:ind w:left="4395"/>
        <w:rPr>
          <w:rFonts w:ascii="Verdana" w:eastAsia="Times New Roman" w:hAnsi="Verdana" w:cs="Times New Roman"/>
          <w:color w:val="333333"/>
          <w:sz w:val="20"/>
          <w:szCs w:val="20"/>
        </w:rPr>
      </w:pPr>
      <w:r>
        <w:rPr>
          <w:rFonts w:ascii="Verdana" w:hAnsi="Verdana"/>
          <w:color w:val="333333"/>
          <w:sz w:val="20"/>
        </w:rPr>
        <w:t>Rechtspraak.nl </w:t>
      </w:r>
    </w:p>
    <w:p w:rsidR="007D20C9" w:rsidRPr="007D20C9" w:rsidRDefault="007D20C9" w:rsidP="007D20C9">
      <w:pPr>
        <w:spacing w:after="75" w:line="180" w:lineRule="atLeast"/>
        <w:outlineLvl w:val="2"/>
        <w:rPr>
          <w:rFonts w:ascii="Verdana" w:eastAsia="Times New Roman" w:hAnsi="Verdana" w:cs="Times New Roman"/>
          <w:b/>
          <w:bCs/>
          <w:color w:val="333333"/>
          <w:sz w:val="27"/>
          <w:szCs w:val="27"/>
        </w:rPr>
      </w:pPr>
      <w:r>
        <w:rPr>
          <w:rFonts w:ascii="Verdana" w:hAnsi="Verdana"/>
          <w:b/>
          <w:color w:val="333333"/>
          <w:sz w:val="27"/>
        </w:rPr>
        <w:t>Judgement</w:t>
      </w:r>
    </w:p>
    <w:p w:rsidR="007D20C9" w:rsidRPr="007D20C9" w:rsidRDefault="007D20C9" w:rsidP="007D20C9">
      <w:pPr>
        <w:spacing w:after="0" w:line="240" w:lineRule="auto"/>
        <w:outlineLvl w:val="1"/>
        <w:rPr>
          <w:rFonts w:ascii="Verdana" w:eastAsia="Times New Roman" w:hAnsi="Verdana" w:cs="Times New Roman"/>
          <w:b/>
          <w:bCs/>
          <w:color w:val="000000"/>
          <w:sz w:val="18"/>
          <w:szCs w:val="18"/>
        </w:rPr>
      </w:pPr>
      <w:r>
        <w:rPr>
          <w:rFonts w:ascii="Verdana" w:hAnsi="Verdana"/>
          <w:b/>
          <w:color w:val="000000"/>
          <w:sz w:val="18"/>
        </w:rPr>
        <w:t>COURT OF THE HAGUE</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Hearing Utrecht</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Administrative law</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Case numbers: AWB 16/7663 and AWB 16/7665</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b/>
          <w:color w:val="000000"/>
          <w:sz w:val="18"/>
        </w:rPr>
        <w:t>Pronunciation of the single judge and the interim relief judge of 13 May 2016 in the case between</w:t>
      </w:r>
    </w:p>
    <w:p w:rsidR="007D20C9" w:rsidRPr="007D20C9" w:rsidRDefault="007D20C9" w:rsidP="007D20C9">
      <w:pPr>
        <w:spacing w:after="0" w:line="240" w:lineRule="auto"/>
        <w:outlineLvl w:val="1"/>
        <w:rPr>
          <w:rFonts w:ascii="Verdana" w:eastAsia="Times New Roman" w:hAnsi="Verdana" w:cs="Times New Roman"/>
          <w:b/>
          <w:bCs/>
          <w:color w:val="000000"/>
          <w:sz w:val="18"/>
          <w:szCs w:val="18"/>
        </w:rPr>
      </w:pPr>
      <w:r>
        <w:rPr>
          <w:rFonts w:ascii="Verdana" w:hAnsi="Verdana"/>
          <w:b/>
          <w:color w:val="000000"/>
          <w:sz w:val="18"/>
        </w:rPr>
        <w:t>[claimant], born on [1992], of Iraqi nationality, claimant</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(authorised representative: Mr AH Hekman),</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and</w:t>
      </w:r>
    </w:p>
    <w:p w:rsidR="007D20C9" w:rsidRPr="007D20C9" w:rsidRDefault="007D20C9" w:rsidP="007D20C9">
      <w:pPr>
        <w:spacing w:after="0" w:line="240" w:lineRule="auto"/>
        <w:outlineLvl w:val="1"/>
        <w:rPr>
          <w:rFonts w:ascii="Verdana" w:eastAsia="Times New Roman" w:hAnsi="Verdana" w:cs="Times New Roman"/>
          <w:b/>
          <w:bCs/>
          <w:color w:val="000000"/>
          <w:sz w:val="18"/>
          <w:szCs w:val="18"/>
        </w:rPr>
      </w:pPr>
      <w:r>
        <w:rPr>
          <w:rFonts w:ascii="Verdana" w:hAnsi="Verdana"/>
          <w:b/>
          <w:color w:val="000000"/>
          <w:sz w:val="18"/>
        </w:rPr>
        <w:t xml:space="preserve">the State Secretary of Security and justice, defendant </w:t>
      </w:r>
    </w:p>
    <w:p w:rsidR="007D20C9" w:rsidRPr="007D20C9" w:rsidRDefault="007D20C9" w:rsidP="007D20C9">
      <w:pPr>
        <w:spacing w:line="270" w:lineRule="atLeast"/>
        <w:rPr>
          <w:rFonts w:ascii="Verdana" w:eastAsia="Times New Roman" w:hAnsi="Verdana" w:cs="Times New Roman"/>
          <w:color w:val="000000"/>
          <w:sz w:val="18"/>
          <w:szCs w:val="18"/>
        </w:rPr>
      </w:pPr>
      <w:r>
        <w:rPr>
          <w:rFonts w:ascii="Verdana" w:hAnsi="Verdana"/>
          <w:color w:val="000000"/>
          <w:sz w:val="18"/>
        </w:rPr>
        <w:t>(authorised representative: Mr IEP Lemmers).</w:t>
      </w:r>
    </w:p>
    <w:p w:rsidR="007D20C9" w:rsidRPr="007D20C9" w:rsidRDefault="007D20C9" w:rsidP="007D20C9">
      <w:pPr>
        <w:spacing w:after="0" w:line="240" w:lineRule="auto"/>
        <w:outlineLvl w:val="1"/>
        <w:rPr>
          <w:rFonts w:ascii="Verdana" w:eastAsia="Times New Roman" w:hAnsi="Verdana" w:cs="Times New Roman"/>
          <w:b/>
          <w:bCs/>
          <w:color w:val="000000"/>
          <w:sz w:val="18"/>
          <w:szCs w:val="18"/>
        </w:rPr>
      </w:pPr>
      <w:r>
        <w:rPr>
          <w:rFonts w:ascii="Verdana" w:hAnsi="Verdana"/>
          <w:b/>
          <w:color w:val="000000"/>
          <w:sz w:val="18"/>
        </w:rPr>
        <w:t>Procedure</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lastRenderedPageBreak/>
        <w:t>By decision of 13 April 2016 (the disputed decision), defendant did not deal with the request of claimant of 18 November 2015 to grant an asylum residence permit for a fixed duration, because Bulgaria was responsible for processing the application.</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The claimant appealed the contested decision. He also requested the preliminary relief judge for a preliminary injunction.</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The investigation took place at the hearing on 3 May 2016. Claimant has appeared, assisted by his authorised representative. Defendant was represented by his authorised representative.</w:t>
      </w:r>
    </w:p>
    <w:p w:rsidR="007D20C9" w:rsidRPr="007D20C9" w:rsidRDefault="007D20C9" w:rsidP="007D20C9">
      <w:pPr>
        <w:spacing w:after="0" w:line="240" w:lineRule="auto"/>
        <w:outlineLvl w:val="1"/>
        <w:rPr>
          <w:rFonts w:ascii="Verdana" w:eastAsia="Times New Roman" w:hAnsi="Verdana" w:cs="Times New Roman"/>
          <w:b/>
          <w:bCs/>
          <w:color w:val="000000"/>
          <w:sz w:val="18"/>
          <w:szCs w:val="18"/>
        </w:rPr>
      </w:pPr>
      <w:r>
        <w:rPr>
          <w:rFonts w:ascii="Verdana" w:hAnsi="Verdana"/>
          <w:b/>
          <w:color w:val="000000"/>
          <w:sz w:val="18"/>
        </w:rPr>
        <w:t>Considerations</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On the appeal (AWB 16/7663)</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1. The Court takes the following facts, undisputed by the parties, as established. The defendant asked Bulgaria on 13 January 2016 to take claimant back on the basis of article 18, paragraph 1 (b) of Regulation (EU) No. 604/2013 of the European Parliament and of the Council of 26 June 2013 establishing the criteria and mechanisms for determining the Member State responsible for examining an application for international protection lodged by a third-country national or a stateless person with one of the Member States (reorganisation) (Dublin Regulation). On 19 January 2016, the Bulgarian authorities have agreed to take him back on the basis of article 20, paragraph 5, of the Dublin Regulation.</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2. On the basis of article 30, paragraph 1, of the Immigration Act 2000 (Vw), an application for the granting of a residence permit for a fixed time as referred to in article 28 of this law, wasn't taken into consideration, if, on the basis of the Dublin regulation it was established that another Member State is responsible for examining the application.</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3. The claimant has argued that defendant fails to recognize that there are system related shortcomings in the asylum procedure and the reception conditions in Bulgaria. In support of his position, claimant referred to the report "Country report:  Bulgaria" of Asylum Information Database (Aida) of October 2015, the report "Research Note: Reception conditions, detentions and procedural safeguards for asylum seekers and content of international protection status in Bulgaria" of ELENA/ECRE of February 2016, a letter from Refugee Network Netherlands of 1 March 2016 and a ruling from the Verwaltungsgericht Oldenburg. It appears from the documents according to claimant that if three months have passed, the asylum application in Bulgaria is usually suspended or rejected and there is a risk of detention upon return because it then concerns a follow-up application. The defendant, according to claimant, relies on suspicions by stating that claimant as Dublin claimant will enter Bulgaria in a way and be taken care of different from foreigners who report at the outer border or make an application for asylum in detention in Bulgaria. It is the defendant's duty to verify if the application for asylum by the claimant has already been dismissed. The claimant has further pointed out that there is a systematic lack of legal aid, whereby there is no possibility to successfully defend against abuses and violations of international asylum standards. The defendant's position that the lawfulness review of detention after six months do not represent a violation with the Habeas Corpus principle or article 5 of the Convention for the protection of human rights and fundamental freedoms (ECHR), cannot stand according to the claimant. In addition, claimant pointed out that he has been detained in Bulgaria for 28 days, that he was mistreated during his detention, he had to sleep in one room with 41 other asylum seekers and that he had to sleep on the ground. The conditions in detention are such according to claimant that return to Bulgaria represents a violation of article 3 of the ECHR.</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 xml:space="preserve">4. Defendant has maintained its position at the hearing that the situation in Bulgaria is not such that the interstate confidence principle cannot be assumed. The Bulgarian authorities have accepted the readmission request under article 20, paragraph 5, of the Dublin Regulation, and it follows according to defendant that the procedure hasn't been terminated by a negative decision. Whether claimant will end up in detention is a future uncertain event according to defendant. If he does end up in detention, claimant can complain about that. The legal possibility also exists for claimant to appeal within 14 days of detention. The documents do prove that this is difficult to </w:t>
      </w:r>
      <w:r>
        <w:rPr>
          <w:rFonts w:ascii="Verdana" w:hAnsi="Verdana"/>
          <w:color w:val="000000"/>
          <w:sz w:val="18"/>
        </w:rPr>
        <w:lastRenderedPageBreak/>
        <w:t>achieve because of the lack of subsidised legal aid. Therefore, foreigners often have to rely on the judicial review after six months. Furthermore, defendant stated that the conditions in detention are worrying, but not such that there is a violation of article 3 of the ECHR. Claimant can also complain about this in Bulgaria.</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5. Considering the principle of interstate protection, the defendant may in the opinion of the Court in principle assume that Bulgaria complies with its treaty obligations. It is therefore up to the claimant to make it plausible that Bulgaria doesn't do this. The M.S.S. judgement against Belgium and Greece (judgement on M.S.S.) of the European Court of human rights (ECHR) of 21 January 2011 (case no. 30696/09, ECLI:NL:XX:2011:BP4356), it however follows that when determining whether a transfer of a refugee in application of the Regulation 343/2003 to another Member State is contrary to article 3, or article 13 of the European Convention on human rights, the detention and/or living conditions with which the transferred asylum seeker is faced in that country and the quality of the asylum procedure in that country, in particular, is important. Furthermore, the judgement also entails that in a situation like this where information is presented in respect of these aspects that do not specifically apply to the alien concerned, a Member State who wishes to transfer an asylum seeker, should make sure that the legislation of the Member State to which the alien is transferred, is applied on these points in a manner consistent with the ECHR. This is also the assessment framework that the judge applies in this case. That the Dublin Regulation then entered into force, is no reason for this assessment framework to no longer be applied. Considering the evaluation that the judgement on M.S.S. requires, it can be assumed that any infringements of EU law in the country to which the alien is transferred that falls outside the framework of the aspects assessed by the ECHR in the M.S.S. case concerned and therefore do not lead to the conclusion that there is an impending violation of article 3 of the ECHR in transfer to another Member State, it doesn't lead to the judgement that a Member State, because of such violations, should take responsibility for the treatment of an asylum application in application of article 3, paragraph 2, of the Dublin Regulation. The judgement of the Court of Justice of the European Union of 21 December 2011 in the cases C-411/10 and C-493/10 (www.curia.europa.eu) shows that this is how to properly assess compliance with the requirements arising from the EU law.</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5. In article 20, paragraph 5, of the Dublin Regulation, in so far as relevant here, the following:</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"The Member State to which the application for international protection is lodged, is obliged to, according to the conditions determined in articles 23, 24, 25 and 29 and in view of completion of the procedure to determine the Member State responsible for examining the application for international protection, take back the applicant who resides in another Member State without residence permit or has submitted a new request there after withdrawing his first request submitted in another Member State's during the procedure to determine the Member State responsible."</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The English text of article 20, paragraph 5, of the Dublin Regulation, in so far as relevant here, reads as follows:</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“An applicant who is present in another Member State without a residence document or who there lodges an application for international protection after withdrawing his or her first application made in a different Member State during the process of determining the Member State responsible shall be taken back, under the conditions laid down in Articles 23, 24, 25 and 29, by the Member State with which that application for international protection was first lodged, with a view to completing the process of determining the Member State responsible.”</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 xml:space="preserve">7. The Court considers that from the acceptance by the Bulgarian authorities of the readmission request under article 20, paragraph 5, of the Dublin Regulation, read in conjunction with the above English text of this provision, it follows that Bulgaria assumes that claimant's first application for international protection that he submitted at the Bulgarian authorities on 7 October 2015, has </w:t>
      </w:r>
      <w:r>
        <w:rPr>
          <w:rFonts w:ascii="Verdana" w:hAnsi="Verdana"/>
          <w:color w:val="000000"/>
          <w:sz w:val="18"/>
        </w:rPr>
        <w:lastRenderedPageBreak/>
        <w:t>been revoked. The Court therefore cannot follow the defendant's position that it is apparent from the ground for acceptance that the claimant's asylum procedure is still running in Bulgaria.</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8. The Court further considers that the following is stated in the Aida report cited by the claimant, as far as relevant here:</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 if the returnee has a pending asylum application in Bulgaria, he is transferred to a SAR reception centre because SAR usually suspends an asylum procedure when an asylum seeker leaves Bulgaria before the procedure was completed. If a Dublin returnee’s asylum application was rejected in absentia, but not served to the asylum seeker before he had left Bulgaria, the returnee is transferred to an asylum reception centre. If, however, the Dublin returnee’s asylum application was rejected with a final decision before he had left Bulgaria, or the decision was served in absentia and therefore became final, the returnee is transferred to one of the detention immigration facilities (…)”</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The ECRE/ELENA report cited by the claimant states, as far as relevant here, the following:</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“For those Dublin returnees who have had a final decision rejecting their claim either before leaving Bulgaria or whose application was rejected, served </w:t>
      </w:r>
      <w:r>
        <w:rPr>
          <w:rFonts w:ascii="Verdana" w:hAnsi="Verdana"/>
          <w:i/>
          <w:color w:val="000000"/>
          <w:sz w:val="18"/>
        </w:rPr>
        <w:t>in absentia </w:t>
      </w:r>
      <w:r>
        <w:rPr>
          <w:rFonts w:ascii="Verdana" w:hAnsi="Verdana"/>
          <w:color w:val="000000"/>
          <w:sz w:val="18"/>
        </w:rPr>
        <w:t>and not appealed, thus becoming final, the returnee is considered as an irregular migrant and placed immediately in detention within one of the pre-removal detention centres. This applies to all persons, including families with children.”</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br/>
      </w:r>
      <w:r>
        <w:rPr>
          <w:rFonts w:ascii="Verdana" w:hAnsi="Verdana"/>
          <w:color w:val="000000"/>
          <w:sz w:val="18"/>
        </w:rPr>
        <w:t>The Court notes that the reports quoted by the claimant doesn't show whether an alien whose application for international protection has been withdrawn in Bulgaria and who returns to Bulgaria in the framework of the Dublin Regulation, as in this case, is detained or transferred to an refugee centre after arriving in Bulgaria. In the Court's opinion it cannot be ruled out that the claimant will be detained after his transfer to Bulgaria. The Court further considers that the defendant assumed in the contested decision that the report of ECRE/ELENA states that among other things the detention centres are overcrowded, foreigners are forced to to sleep in corridors, there are bad hygienic conditions, the food supply is bad, guards use violence against foreigners, and abuse foreigners, the medical care is poor and there is a shortage of interpreters. Furthermore, the Court considers that the defendant has explained at the hearing that the documents before the Court show that the legal possibility exists to lodge an appeal within 14 days from detention, but defendant has also acknowledged that the documents before the Court also show that that it is difficult to achieve because of the lack of legal aid. According to the defendant, foreigners are often forced to rely on the judicial review that takes place after six months of detention.</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9. In the light of the foregoing, the Court understands what claimant has argued and cited in the documents for the judgement by the claimant that the defendant, given its duty to inform itself, shouldn't have assumed without further investigation that the transfer of claimant to Bulgaria will not lead to a situation that will be contrary to article 3 of the ECHR. The defendant incorrectly assumed that the asylum request of the claimant is still running in Bulgaria and insufficiently motivated his position as to what may be awaiting the claimant in Bulgaria.</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10. Having regard to the foregoing, the appeal is valid.  The contested decision is overruled because it violates the provisions of article 3:46 of the General Administrative Law Act (CC). The remaining grounds for appeal, to the extent that these have not been discussed, need no discussion.</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11. The Court does not see room from the point of view of final dispute resolution to rule in the case itself. The Court also sees no possibility to uphold the legal consequences. Finally, the Court also sees no room to use its jurisdiction it is given in article 8:51a, first paragraph, of the CC. The Court will therefore order the defendant to take a new decision in accordance with what it has considered. The Court establishes a period of six weeks for this.</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 xml:space="preserve">12. The Court will sentence defendant in application of article 8:75, paragraph 1, of the CC to pay the costs that claimant has incurred. The Court estimates the costs based on the Decision litigation </w:t>
      </w:r>
      <w:r>
        <w:rPr>
          <w:rFonts w:ascii="Verdana" w:hAnsi="Verdana"/>
          <w:color w:val="000000"/>
          <w:sz w:val="18"/>
        </w:rPr>
        <w:lastRenderedPageBreak/>
        <w:t>costs administrative law (Bpb) at €992.00 (1 point for the notice of appeal and 1 point for appearing at the hearing, with a value per point of €496.00 and a weighting factor of 1).</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On the request to make a preliminary injunction (AWB 16/7665)</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11. Given the decision in the main proceedings there is no more grounds for the requested injunction, so the request is refused.</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12. The interim relief judge, having regard to what is considered in the main case, on the basis of article 8:84, paragraph 5, in conjunction with article 8:75, paragraph 1, of the CC, sees reason for a conviction in the litigation costs. The interim relief judge estimates the costs on the basis of the Bpb on €496.00 (1 point for the application, with a value per point of €496.00 and a weighting factor of 1).</w:t>
      </w:r>
    </w:p>
    <w:p w:rsidR="007D20C9" w:rsidRPr="007D20C9" w:rsidRDefault="007D20C9" w:rsidP="007D20C9">
      <w:pPr>
        <w:spacing w:after="0" w:line="240" w:lineRule="auto"/>
        <w:outlineLvl w:val="1"/>
        <w:rPr>
          <w:rFonts w:ascii="Verdana" w:eastAsia="Times New Roman" w:hAnsi="Verdana" w:cs="Times New Roman"/>
          <w:b/>
          <w:bCs/>
          <w:color w:val="000000"/>
          <w:sz w:val="18"/>
          <w:szCs w:val="18"/>
        </w:rPr>
      </w:pPr>
      <w:r>
        <w:rPr>
          <w:rFonts w:ascii="Verdana" w:hAnsi="Verdana"/>
          <w:b/>
          <w:color w:val="000000"/>
          <w:sz w:val="18"/>
        </w:rPr>
        <w:t>Decision</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The Court:</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 declares the appeal valid;</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 overrules the contested decision;</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 orders defendant to take a new decision in accordance with this decision, within six weeks of the date of dispatch of the decision;</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 condemns defendant to pay the claimant's costs to the value of €992.00.</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The interim relief judge:</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 rejects the request for an interim injunction;</w:t>
      </w:r>
    </w:p>
    <w:p w:rsidR="007D20C9" w:rsidRPr="007D20C9" w:rsidRDefault="007D20C9" w:rsidP="007D20C9">
      <w:pPr>
        <w:spacing w:after="0" w:line="270" w:lineRule="atLeast"/>
        <w:rPr>
          <w:rFonts w:ascii="Verdana" w:eastAsia="Times New Roman" w:hAnsi="Verdana" w:cs="Times New Roman"/>
          <w:color w:val="000000"/>
          <w:sz w:val="18"/>
          <w:szCs w:val="18"/>
        </w:rPr>
      </w:pPr>
      <w:r>
        <w:rPr>
          <w:rFonts w:ascii="Verdana" w:hAnsi="Verdana"/>
          <w:color w:val="000000"/>
          <w:sz w:val="18"/>
        </w:rPr>
        <w:t>- condemns defendant to pay the claimant's costs up to an amount of €496.00.</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This judgement was pronounced by Mr MP Bos, (interim relief) judge, in the presence of S.J. van Ravenhorst, Registrar. The decision was publicly pronounced on 13 May 2016.</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i/>
          <w:color w:val="000000"/>
          <w:sz w:val="18"/>
        </w:rPr>
        <w:t>The Registrar was prevented</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i/>
          <w:color w:val="000000"/>
          <w:sz w:val="18"/>
        </w:rPr>
        <w:t>from signing the pronunciation.</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Registrar Judge</w:t>
      </w:r>
    </w:p>
    <w:p w:rsidR="007D20C9" w:rsidRPr="007D20C9" w:rsidRDefault="007D20C9" w:rsidP="007D20C9">
      <w:pPr>
        <w:spacing w:after="75" w:line="270" w:lineRule="atLeast"/>
        <w:rPr>
          <w:rFonts w:ascii="Verdana" w:eastAsia="Times New Roman" w:hAnsi="Verdana" w:cs="Times New Roman"/>
          <w:color w:val="000000"/>
          <w:sz w:val="18"/>
          <w:szCs w:val="18"/>
        </w:rPr>
      </w:pPr>
      <w:r>
        <w:rPr>
          <w:rFonts w:ascii="Verdana" w:hAnsi="Verdana"/>
          <w:color w:val="000000"/>
          <w:sz w:val="18"/>
        </w:rPr>
        <w:t>Copy sent to parties on:</w:t>
      </w:r>
    </w:p>
    <w:p w:rsidR="007D20C9" w:rsidRPr="007D20C9" w:rsidRDefault="007D20C9" w:rsidP="007D20C9">
      <w:pPr>
        <w:spacing w:after="0" w:line="240" w:lineRule="auto"/>
        <w:outlineLvl w:val="1"/>
        <w:rPr>
          <w:rFonts w:ascii="Verdana" w:eastAsia="Times New Roman" w:hAnsi="Verdana" w:cs="Times New Roman"/>
          <w:b/>
          <w:bCs/>
          <w:color w:val="000000"/>
          <w:sz w:val="18"/>
          <w:szCs w:val="18"/>
        </w:rPr>
      </w:pPr>
      <w:r>
        <w:rPr>
          <w:rFonts w:ascii="Verdana" w:hAnsi="Verdana"/>
          <w:b/>
          <w:color w:val="000000"/>
          <w:sz w:val="18"/>
        </w:rPr>
        <w:t xml:space="preserve">Appeal </w:t>
      </w:r>
    </w:p>
    <w:p w:rsidR="007D20C9" w:rsidRPr="007D20C9" w:rsidRDefault="007D20C9" w:rsidP="007D20C9">
      <w:pPr>
        <w:spacing w:after="0" w:line="270" w:lineRule="atLeast"/>
        <w:rPr>
          <w:rFonts w:ascii="Verdana" w:eastAsia="Times New Roman" w:hAnsi="Verdana" w:cs="Times New Roman"/>
          <w:color w:val="333333"/>
          <w:sz w:val="15"/>
          <w:szCs w:val="15"/>
        </w:rPr>
      </w:pPr>
      <w:r>
        <w:rPr>
          <w:rFonts w:ascii="Verdana" w:hAnsi="Verdana"/>
          <w:color w:val="000000"/>
          <w:sz w:val="18"/>
        </w:rPr>
        <w:t>Appeal can be lodged against this ruling, as far as the appeal is concerned, within one week of the date of dispatch of this appeal, with the Administrative litigation section of the State Council. If an appeal is lodged, the interim relief judge of the Court of Appeal may be requested for a preliminary injunction or to lift or modify injunctive relief taken at this ruling.</w:t>
      </w:r>
      <w:r>
        <w:rPr>
          <w:rFonts w:ascii="Verdana" w:hAnsi="Verdana"/>
          <w:color w:val="333333"/>
          <w:sz w:val="15"/>
        </w:rPr>
        <w:t xml:space="preserve"> </w:t>
      </w:r>
    </w:p>
    <w:p w:rsidR="00BB36CF" w:rsidRPr="007D20C9" w:rsidRDefault="00BB36CF"/>
    <w:sectPr w:rsidR="00BB36CF" w:rsidRPr="007D2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2311"/>
    <w:multiLevelType w:val="multilevel"/>
    <w:tmpl w:val="EA30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8639D"/>
    <w:multiLevelType w:val="multilevel"/>
    <w:tmpl w:val="A1AA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DF3968"/>
    <w:multiLevelType w:val="multilevel"/>
    <w:tmpl w:val="EEB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E3B18"/>
    <w:multiLevelType w:val="multilevel"/>
    <w:tmpl w:val="7320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D5686F"/>
    <w:multiLevelType w:val="multilevel"/>
    <w:tmpl w:val="8056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F0452F"/>
    <w:multiLevelType w:val="multilevel"/>
    <w:tmpl w:val="CB3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C9"/>
    <w:rsid w:val="001E1E4D"/>
    <w:rsid w:val="00225A7C"/>
    <w:rsid w:val="00230D1C"/>
    <w:rsid w:val="007D20C9"/>
    <w:rsid w:val="008C1AE8"/>
    <w:rsid w:val="00BB36CF"/>
    <w:rsid w:val="00EE6E54"/>
    <w:rsid w:val="00F7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20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20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20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C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20C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20C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D20C9"/>
    <w:rPr>
      <w:color w:val="0000FF"/>
      <w:u w:val="single"/>
    </w:rPr>
  </w:style>
  <w:style w:type="character" w:customStyle="1" w:styleId="separator">
    <w:name w:val="separator"/>
    <w:basedOn w:val="DefaultParagraphFont"/>
    <w:rsid w:val="007D20C9"/>
  </w:style>
  <w:style w:type="character" w:customStyle="1" w:styleId="structural">
    <w:name w:val="structural"/>
    <w:basedOn w:val="DefaultParagraphFont"/>
    <w:rsid w:val="007D20C9"/>
  </w:style>
  <w:style w:type="character" w:customStyle="1" w:styleId="apple-converted-space">
    <w:name w:val="apple-converted-space"/>
    <w:basedOn w:val="DefaultParagraphFont"/>
    <w:rsid w:val="007D20C9"/>
  </w:style>
  <w:style w:type="paragraph" w:styleId="NormalWeb">
    <w:name w:val="Normal (Web)"/>
    <w:basedOn w:val="Normal"/>
    <w:uiPriority w:val="99"/>
    <w:semiHidden/>
    <w:unhideWhenUsed/>
    <w:rsid w:val="007D2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1">
    <w:name w:val="Emphasis1"/>
    <w:basedOn w:val="DefaultParagraphFont"/>
    <w:rsid w:val="007D20C9"/>
  </w:style>
  <w:style w:type="character" w:customStyle="1" w:styleId="rs-footer-heading">
    <w:name w:val="rs-footer-heading"/>
    <w:basedOn w:val="DefaultParagraphFont"/>
    <w:rsid w:val="007D20C9"/>
  </w:style>
  <w:style w:type="paragraph" w:styleId="BalloonText">
    <w:name w:val="Balloon Text"/>
    <w:basedOn w:val="Normal"/>
    <w:link w:val="BalloonTextChar"/>
    <w:uiPriority w:val="99"/>
    <w:semiHidden/>
    <w:unhideWhenUsed/>
    <w:rsid w:val="007D2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20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20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20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C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20C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20C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D20C9"/>
    <w:rPr>
      <w:color w:val="0000FF"/>
      <w:u w:val="single"/>
    </w:rPr>
  </w:style>
  <w:style w:type="character" w:customStyle="1" w:styleId="separator">
    <w:name w:val="separator"/>
    <w:basedOn w:val="DefaultParagraphFont"/>
    <w:rsid w:val="007D20C9"/>
  </w:style>
  <w:style w:type="character" w:customStyle="1" w:styleId="structural">
    <w:name w:val="structural"/>
    <w:basedOn w:val="DefaultParagraphFont"/>
    <w:rsid w:val="007D20C9"/>
  </w:style>
  <w:style w:type="character" w:customStyle="1" w:styleId="apple-converted-space">
    <w:name w:val="apple-converted-space"/>
    <w:basedOn w:val="DefaultParagraphFont"/>
    <w:rsid w:val="007D20C9"/>
  </w:style>
  <w:style w:type="paragraph" w:styleId="NormalWeb">
    <w:name w:val="Normal (Web)"/>
    <w:basedOn w:val="Normal"/>
    <w:uiPriority w:val="99"/>
    <w:semiHidden/>
    <w:unhideWhenUsed/>
    <w:rsid w:val="007D2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1">
    <w:name w:val="Emphasis1"/>
    <w:basedOn w:val="DefaultParagraphFont"/>
    <w:rsid w:val="007D20C9"/>
  </w:style>
  <w:style w:type="character" w:customStyle="1" w:styleId="rs-footer-heading">
    <w:name w:val="rs-footer-heading"/>
    <w:basedOn w:val="DefaultParagraphFont"/>
    <w:rsid w:val="007D20C9"/>
  </w:style>
  <w:style w:type="paragraph" w:styleId="BalloonText">
    <w:name w:val="Balloon Text"/>
    <w:basedOn w:val="Normal"/>
    <w:link w:val="BalloonTextChar"/>
    <w:uiPriority w:val="99"/>
    <w:semiHidden/>
    <w:unhideWhenUsed/>
    <w:rsid w:val="007D2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5055">
      <w:bodyDiv w:val="1"/>
      <w:marLeft w:val="0"/>
      <w:marRight w:val="0"/>
      <w:marTop w:val="0"/>
      <w:marBottom w:val="0"/>
      <w:divBdr>
        <w:top w:val="none" w:sz="0" w:space="0" w:color="auto"/>
        <w:left w:val="none" w:sz="0" w:space="0" w:color="auto"/>
        <w:bottom w:val="none" w:sz="0" w:space="0" w:color="auto"/>
        <w:right w:val="none" w:sz="0" w:space="0" w:color="auto"/>
      </w:divBdr>
      <w:divsChild>
        <w:div w:id="2012640593">
          <w:marLeft w:val="0"/>
          <w:marRight w:val="0"/>
          <w:marTop w:val="0"/>
          <w:marBottom w:val="0"/>
          <w:divBdr>
            <w:top w:val="none" w:sz="0" w:space="0" w:color="auto"/>
            <w:left w:val="none" w:sz="0" w:space="0" w:color="auto"/>
            <w:bottom w:val="none" w:sz="0" w:space="0" w:color="auto"/>
            <w:right w:val="none" w:sz="0" w:space="0" w:color="auto"/>
          </w:divBdr>
          <w:divsChild>
            <w:div w:id="2011709834">
              <w:marLeft w:val="0"/>
              <w:marRight w:val="0"/>
              <w:marTop w:val="0"/>
              <w:marBottom w:val="0"/>
              <w:divBdr>
                <w:top w:val="none" w:sz="0" w:space="0" w:color="auto"/>
                <w:left w:val="none" w:sz="0" w:space="0" w:color="auto"/>
                <w:bottom w:val="none" w:sz="0" w:space="0" w:color="auto"/>
                <w:right w:val="none" w:sz="0" w:space="0" w:color="auto"/>
              </w:divBdr>
              <w:divsChild>
                <w:div w:id="318576728">
                  <w:marLeft w:val="0"/>
                  <w:marRight w:val="0"/>
                  <w:marTop w:val="0"/>
                  <w:marBottom w:val="0"/>
                  <w:divBdr>
                    <w:top w:val="none" w:sz="0" w:space="0" w:color="auto"/>
                    <w:left w:val="none" w:sz="0" w:space="0" w:color="auto"/>
                    <w:bottom w:val="none" w:sz="0" w:space="0" w:color="auto"/>
                    <w:right w:val="none" w:sz="0" w:space="0" w:color="auto"/>
                  </w:divBdr>
                  <w:divsChild>
                    <w:div w:id="747196898">
                      <w:marLeft w:val="0"/>
                      <w:marRight w:val="0"/>
                      <w:marTop w:val="75"/>
                      <w:marBottom w:val="0"/>
                      <w:divBdr>
                        <w:top w:val="none" w:sz="0" w:space="0" w:color="auto"/>
                        <w:left w:val="none" w:sz="0" w:space="0" w:color="auto"/>
                        <w:bottom w:val="none" w:sz="0" w:space="0" w:color="auto"/>
                        <w:right w:val="none" w:sz="0" w:space="0" w:color="auto"/>
                      </w:divBdr>
                    </w:div>
                    <w:div w:id="15137648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6478771">
              <w:marLeft w:val="0"/>
              <w:marRight w:val="0"/>
              <w:marTop w:val="0"/>
              <w:marBottom w:val="0"/>
              <w:divBdr>
                <w:top w:val="none" w:sz="0" w:space="0" w:color="auto"/>
                <w:left w:val="none" w:sz="0" w:space="0" w:color="auto"/>
                <w:bottom w:val="none" w:sz="0" w:space="0" w:color="auto"/>
                <w:right w:val="none" w:sz="0" w:space="0" w:color="auto"/>
              </w:divBdr>
              <w:divsChild>
                <w:div w:id="357700097">
                  <w:marLeft w:val="0"/>
                  <w:marRight w:val="0"/>
                  <w:marTop w:val="0"/>
                  <w:marBottom w:val="0"/>
                  <w:divBdr>
                    <w:top w:val="none" w:sz="0" w:space="0" w:color="auto"/>
                    <w:left w:val="none" w:sz="0" w:space="0" w:color="auto"/>
                    <w:bottom w:val="none" w:sz="0" w:space="0" w:color="auto"/>
                    <w:right w:val="none" w:sz="0" w:space="0" w:color="auto"/>
                  </w:divBdr>
                  <w:divsChild>
                    <w:div w:id="2345100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31290648">
              <w:marLeft w:val="0"/>
              <w:marRight w:val="0"/>
              <w:marTop w:val="1710"/>
              <w:marBottom w:val="0"/>
              <w:divBdr>
                <w:top w:val="none" w:sz="0" w:space="0" w:color="auto"/>
                <w:left w:val="none" w:sz="0" w:space="0" w:color="auto"/>
                <w:bottom w:val="none" w:sz="0" w:space="0" w:color="auto"/>
                <w:right w:val="none" w:sz="0" w:space="0" w:color="auto"/>
              </w:divBdr>
              <w:divsChild>
                <w:div w:id="204217359">
                  <w:marLeft w:val="0"/>
                  <w:marRight w:val="0"/>
                  <w:marTop w:val="0"/>
                  <w:marBottom w:val="0"/>
                  <w:divBdr>
                    <w:top w:val="none" w:sz="0" w:space="0" w:color="auto"/>
                    <w:left w:val="none" w:sz="0" w:space="0" w:color="auto"/>
                    <w:bottom w:val="none" w:sz="0" w:space="0" w:color="auto"/>
                    <w:right w:val="none" w:sz="0" w:space="0" w:color="auto"/>
                  </w:divBdr>
                  <w:divsChild>
                    <w:div w:id="996614300">
                      <w:marLeft w:val="0"/>
                      <w:marRight w:val="0"/>
                      <w:marTop w:val="0"/>
                      <w:marBottom w:val="0"/>
                      <w:divBdr>
                        <w:top w:val="none" w:sz="0" w:space="0" w:color="auto"/>
                        <w:left w:val="none" w:sz="0" w:space="0" w:color="auto"/>
                        <w:bottom w:val="none" w:sz="0" w:space="0" w:color="auto"/>
                        <w:right w:val="none" w:sz="0" w:space="0" w:color="auto"/>
                      </w:divBdr>
                      <w:divsChild>
                        <w:div w:id="552230910">
                          <w:marLeft w:val="0"/>
                          <w:marRight w:val="0"/>
                          <w:marTop w:val="0"/>
                          <w:marBottom w:val="0"/>
                          <w:divBdr>
                            <w:top w:val="none" w:sz="0" w:space="0" w:color="auto"/>
                            <w:left w:val="none" w:sz="0" w:space="0" w:color="auto"/>
                            <w:bottom w:val="none" w:sz="0" w:space="0" w:color="auto"/>
                            <w:right w:val="none" w:sz="0" w:space="0" w:color="auto"/>
                          </w:divBdr>
                          <w:divsChild>
                            <w:div w:id="487357379">
                              <w:marLeft w:val="3675"/>
                              <w:marRight w:val="0"/>
                              <w:marTop w:val="0"/>
                              <w:marBottom w:val="0"/>
                              <w:divBdr>
                                <w:top w:val="none" w:sz="0" w:space="0" w:color="auto"/>
                                <w:left w:val="none" w:sz="0" w:space="0" w:color="auto"/>
                                <w:bottom w:val="none" w:sz="0" w:space="0" w:color="auto"/>
                                <w:right w:val="none" w:sz="0" w:space="0" w:color="auto"/>
                              </w:divBdr>
                              <w:divsChild>
                                <w:div w:id="2034072689">
                                  <w:marLeft w:val="0"/>
                                  <w:marRight w:val="0"/>
                                  <w:marTop w:val="0"/>
                                  <w:marBottom w:val="0"/>
                                  <w:divBdr>
                                    <w:top w:val="none" w:sz="0" w:space="0" w:color="auto"/>
                                    <w:left w:val="none" w:sz="0" w:space="0" w:color="auto"/>
                                    <w:bottom w:val="none" w:sz="0" w:space="0" w:color="auto"/>
                                    <w:right w:val="none" w:sz="0" w:space="0" w:color="auto"/>
                                  </w:divBdr>
                                  <w:divsChild>
                                    <w:div w:id="1962413510">
                                      <w:marLeft w:val="0"/>
                                      <w:marRight w:val="0"/>
                                      <w:marTop w:val="0"/>
                                      <w:marBottom w:val="0"/>
                                      <w:divBdr>
                                        <w:top w:val="none" w:sz="0" w:space="0" w:color="auto"/>
                                        <w:left w:val="none" w:sz="0" w:space="0" w:color="auto"/>
                                        <w:bottom w:val="none" w:sz="0" w:space="0" w:color="auto"/>
                                        <w:right w:val="none" w:sz="0" w:space="0" w:color="auto"/>
                                      </w:divBdr>
                                      <w:divsChild>
                                        <w:div w:id="1338508431">
                                          <w:marLeft w:val="0"/>
                                          <w:marRight w:val="0"/>
                                          <w:marTop w:val="0"/>
                                          <w:marBottom w:val="0"/>
                                          <w:divBdr>
                                            <w:top w:val="none" w:sz="0" w:space="0" w:color="auto"/>
                                            <w:left w:val="none" w:sz="0" w:space="0" w:color="auto"/>
                                            <w:bottom w:val="none" w:sz="0" w:space="0" w:color="auto"/>
                                            <w:right w:val="none" w:sz="0" w:space="0" w:color="auto"/>
                                          </w:divBdr>
                                        </w:div>
                                        <w:div w:id="1956129208">
                                          <w:marLeft w:val="0"/>
                                          <w:marRight w:val="0"/>
                                          <w:marTop w:val="0"/>
                                          <w:marBottom w:val="0"/>
                                          <w:divBdr>
                                            <w:top w:val="none" w:sz="0" w:space="0" w:color="auto"/>
                                            <w:left w:val="none" w:sz="0" w:space="0" w:color="auto"/>
                                            <w:bottom w:val="none" w:sz="0" w:space="0" w:color="auto"/>
                                            <w:right w:val="none" w:sz="0" w:space="0" w:color="auto"/>
                                          </w:divBdr>
                                          <w:divsChild>
                                            <w:div w:id="2078042239">
                                              <w:marLeft w:val="0"/>
                                              <w:marRight w:val="0"/>
                                              <w:marTop w:val="0"/>
                                              <w:marBottom w:val="0"/>
                                              <w:divBdr>
                                                <w:top w:val="none" w:sz="0" w:space="0" w:color="auto"/>
                                                <w:left w:val="none" w:sz="0" w:space="0" w:color="auto"/>
                                                <w:bottom w:val="none" w:sz="0" w:space="0" w:color="auto"/>
                                                <w:right w:val="none" w:sz="0" w:space="0" w:color="auto"/>
                                              </w:divBdr>
                                            </w:div>
                                          </w:divsChild>
                                        </w:div>
                                        <w:div w:id="2100128265">
                                          <w:marLeft w:val="0"/>
                                          <w:marRight w:val="0"/>
                                          <w:marTop w:val="0"/>
                                          <w:marBottom w:val="0"/>
                                          <w:divBdr>
                                            <w:top w:val="none" w:sz="0" w:space="0" w:color="auto"/>
                                            <w:left w:val="none" w:sz="0" w:space="0" w:color="auto"/>
                                            <w:bottom w:val="none" w:sz="0" w:space="0" w:color="auto"/>
                                            <w:right w:val="none" w:sz="0" w:space="0" w:color="auto"/>
                                          </w:divBdr>
                                          <w:divsChild>
                                            <w:div w:id="202013698">
                                              <w:marLeft w:val="0"/>
                                              <w:marRight w:val="0"/>
                                              <w:marTop w:val="0"/>
                                              <w:marBottom w:val="0"/>
                                              <w:divBdr>
                                                <w:top w:val="none" w:sz="0" w:space="0" w:color="auto"/>
                                                <w:left w:val="none" w:sz="0" w:space="0" w:color="auto"/>
                                                <w:bottom w:val="none" w:sz="0" w:space="0" w:color="auto"/>
                                                <w:right w:val="none" w:sz="0" w:space="0" w:color="auto"/>
                                              </w:divBdr>
                                            </w:div>
                                          </w:divsChild>
                                        </w:div>
                                        <w:div w:id="214127495">
                                          <w:marLeft w:val="0"/>
                                          <w:marRight w:val="0"/>
                                          <w:marTop w:val="0"/>
                                          <w:marBottom w:val="0"/>
                                          <w:divBdr>
                                            <w:top w:val="none" w:sz="0" w:space="0" w:color="auto"/>
                                            <w:left w:val="none" w:sz="0" w:space="0" w:color="auto"/>
                                            <w:bottom w:val="none" w:sz="0" w:space="0" w:color="auto"/>
                                            <w:right w:val="none" w:sz="0" w:space="0" w:color="auto"/>
                                          </w:divBdr>
                                        </w:div>
                                        <w:div w:id="827402953">
                                          <w:marLeft w:val="0"/>
                                          <w:marRight w:val="0"/>
                                          <w:marTop w:val="0"/>
                                          <w:marBottom w:val="0"/>
                                          <w:divBdr>
                                            <w:top w:val="none" w:sz="0" w:space="0" w:color="auto"/>
                                            <w:left w:val="none" w:sz="0" w:space="0" w:color="auto"/>
                                            <w:bottom w:val="none" w:sz="0" w:space="0" w:color="auto"/>
                                            <w:right w:val="none" w:sz="0" w:space="0" w:color="auto"/>
                                          </w:divBdr>
                                          <w:divsChild>
                                            <w:div w:id="1098672497">
                                              <w:marLeft w:val="0"/>
                                              <w:marRight w:val="0"/>
                                              <w:marTop w:val="0"/>
                                              <w:marBottom w:val="0"/>
                                              <w:divBdr>
                                                <w:top w:val="none" w:sz="0" w:space="0" w:color="auto"/>
                                                <w:left w:val="none" w:sz="0" w:space="0" w:color="auto"/>
                                                <w:bottom w:val="none" w:sz="0" w:space="0" w:color="auto"/>
                                                <w:right w:val="none" w:sz="0" w:space="0" w:color="auto"/>
                                              </w:divBdr>
                                              <w:divsChild>
                                                <w:div w:id="1188064528">
                                                  <w:marLeft w:val="0"/>
                                                  <w:marRight w:val="0"/>
                                                  <w:marTop w:val="480"/>
                                                  <w:marBottom w:val="480"/>
                                                  <w:divBdr>
                                                    <w:top w:val="none" w:sz="0" w:space="0" w:color="auto"/>
                                                    <w:left w:val="none" w:sz="0" w:space="0" w:color="auto"/>
                                                    <w:bottom w:val="none" w:sz="0" w:space="0" w:color="auto"/>
                                                    <w:right w:val="none" w:sz="0" w:space="0" w:color="auto"/>
                                                  </w:divBdr>
                                                  <w:divsChild>
                                                    <w:div w:id="1884051265">
                                                      <w:marLeft w:val="0"/>
                                                      <w:marRight w:val="0"/>
                                                      <w:marTop w:val="0"/>
                                                      <w:marBottom w:val="0"/>
                                                      <w:divBdr>
                                                        <w:top w:val="none" w:sz="0" w:space="0" w:color="auto"/>
                                                        <w:left w:val="none" w:sz="0" w:space="0" w:color="auto"/>
                                                        <w:bottom w:val="none" w:sz="0" w:space="0" w:color="auto"/>
                                                        <w:right w:val="none" w:sz="0" w:space="0" w:color="auto"/>
                                                      </w:divBdr>
                                                    </w:div>
                                                    <w:div w:id="48649868">
                                                      <w:marLeft w:val="0"/>
                                                      <w:marRight w:val="0"/>
                                                      <w:marTop w:val="0"/>
                                                      <w:marBottom w:val="0"/>
                                                      <w:divBdr>
                                                        <w:top w:val="none" w:sz="0" w:space="0" w:color="auto"/>
                                                        <w:left w:val="none" w:sz="0" w:space="0" w:color="auto"/>
                                                        <w:bottom w:val="none" w:sz="0" w:space="0" w:color="auto"/>
                                                        <w:right w:val="none" w:sz="0" w:space="0" w:color="auto"/>
                                                      </w:divBdr>
                                                    </w:div>
                                                    <w:div w:id="1268657152">
                                                      <w:marLeft w:val="0"/>
                                                      <w:marRight w:val="0"/>
                                                      <w:marTop w:val="0"/>
                                                      <w:marBottom w:val="0"/>
                                                      <w:divBdr>
                                                        <w:top w:val="none" w:sz="0" w:space="0" w:color="auto"/>
                                                        <w:left w:val="none" w:sz="0" w:space="0" w:color="auto"/>
                                                        <w:bottom w:val="none" w:sz="0" w:space="0" w:color="auto"/>
                                                        <w:right w:val="none" w:sz="0" w:space="0" w:color="auto"/>
                                                      </w:divBdr>
                                                    </w:div>
                                                    <w:div w:id="448739397">
                                                      <w:marLeft w:val="0"/>
                                                      <w:marRight w:val="0"/>
                                                      <w:marTop w:val="0"/>
                                                      <w:marBottom w:val="0"/>
                                                      <w:divBdr>
                                                        <w:top w:val="none" w:sz="0" w:space="0" w:color="auto"/>
                                                        <w:left w:val="none" w:sz="0" w:space="0" w:color="auto"/>
                                                        <w:bottom w:val="none" w:sz="0" w:space="0" w:color="auto"/>
                                                        <w:right w:val="none" w:sz="0" w:space="0" w:color="auto"/>
                                                      </w:divBdr>
                                                    </w:div>
                                                  </w:divsChild>
                                                </w:div>
                                                <w:div w:id="405421746">
                                                  <w:marLeft w:val="0"/>
                                                  <w:marRight w:val="0"/>
                                                  <w:marTop w:val="225"/>
                                                  <w:marBottom w:val="0"/>
                                                  <w:divBdr>
                                                    <w:top w:val="none" w:sz="0" w:space="0" w:color="auto"/>
                                                    <w:left w:val="none" w:sz="0" w:space="0" w:color="auto"/>
                                                    <w:bottom w:val="none" w:sz="0" w:space="0" w:color="auto"/>
                                                    <w:right w:val="none" w:sz="0" w:space="0" w:color="auto"/>
                                                  </w:divBdr>
                                                  <w:divsChild>
                                                    <w:div w:id="845899481">
                                                      <w:marLeft w:val="0"/>
                                                      <w:marRight w:val="0"/>
                                                      <w:marTop w:val="0"/>
                                                      <w:marBottom w:val="0"/>
                                                      <w:divBdr>
                                                        <w:top w:val="none" w:sz="0" w:space="0" w:color="auto"/>
                                                        <w:left w:val="none" w:sz="0" w:space="0" w:color="auto"/>
                                                        <w:bottom w:val="none" w:sz="0" w:space="0" w:color="auto"/>
                                                        <w:right w:val="none" w:sz="0" w:space="0" w:color="auto"/>
                                                      </w:divBdr>
                                                    </w:div>
                                                    <w:div w:id="776103356">
                                                      <w:marLeft w:val="0"/>
                                                      <w:marRight w:val="0"/>
                                                      <w:marTop w:val="0"/>
                                                      <w:marBottom w:val="0"/>
                                                      <w:divBdr>
                                                        <w:top w:val="none" w:sz="0" w:space="0" w:color="auto"/>
                                                        <w:left w:val="none" w:sz="0" w:space="0" w:color="auto"/>
                                                        <w:bottom w:val="none" w:sz="0" w:space="0" w:color="auto"/>
                                                        <w:right w:val="none" w:sz="0" w:space="0" w:color="auto"/>
                                                      </w:divBdr>
                                                    </w:div>
                                                    <w:div w:id="258366588">
                                                      <w:marLeft w:val="0"/>
                                                      <w:marRight w:val="0"/>
                                                      <w:marTop w:val="0"/>
                                                      <w:marBottom w:val="0"/>
                                                      <w:divBdr>
                                                        <w:top w:val="none" w:sz="0" w:space="0" w:color="auto"/>
                                                        <w:left w:val="none" w:sz="0" w:space="0" w:color="auto"/>
                                                        <w:bottom w:val="none" w:sz="0" w:space="0" w:color="auto"/>
                                                        <w:right w:val="none" w:sz="0" w:space="0" w:color="auto"/>
                                                      </w:divBdr>
                                                    </w:div>
                                                  </w:divsChild>
                                                </w:div>
                                                <w:div w:id="478690761">
                                                  <w:marLeft w:val="0"/>
                                                  <w:marRight w:val="0"/>
                                                  <w:marTop w:val="225"/>
                                                  <w:marBottom w:val="0"/>
                                                  <w:divBdr>
                                                    <w:top w:val="none" w:sz="0" w:space="0" w:color="auto"/>
                                                    <w:left w:val="none" w:sz="0" w:space="0" w:color="auto"/>
                                                    <w:bottom w:val="none" w:sz="0" w:space="0" w:color="auto"/>
                                                    <w:right w:val="none" w:sz="0" w:space="0" w:color="auto"/>
                                                  </w:divBdr>
                                                  <w:divsChild>
                                                    <w:div w:id="1051609555">
                                                      <w:marLeft w:val="0"/>
                                                      <w:marRight w:val="0"/>
                                                      <w:marTop w:val="0"/>
                                                      <w:marBottom w:val="0"/>
                                                      <w:divBdr>
                                                        <w:top w:val="none" w:sz="0" w:space="0" w:color="auto"/>
                                                        <w:left w:val="none" w:sz="0" w:space="0" w:color="auto"/>
                                                        <w:bottom w:val="none" w:sz="0" w:space="0" w:color="auto"/>
                                                        <w:right w:val="none" w:sz="0" w:space="0" w:color="auto"/>
                                                      </w:divBdr>
                                                    </w:div>
                                                    <w:div w:id="1131557832">
                                                      <w:marLeft w:val="0"/>
                                                      <w:marRight w:val="0"/>
                                                      <w:marTop w:val="0"/>
                                                      <w:marBottom w:val="0"/>
                                                      <w:divBdr>
                                                        <w:top w:val="none" w:sz="0" w:space="0" w:color="auto"/>
                                                        <w:left w:val="none" w:sz="0" w:space="0" w:color="auto"/>
                                                        <w:bottom w:val="none" w:sz="0" w:space="0" w:color="auto"/>
                                                        <w:right w:val="none" w:sz="0" w:space="0" w:color="auto"/>
                                                      </w:divBdr>
                                                    </w:div>
                                                    <w:div w:id="535391639">
                                                      <w:marLeft w:val="0"/>
                                                      <w:marRight w:val="0"/>
                                                      <w:marTop w:val="0"/>
                                                      <w:marBottom w:val="0"/>
                                                      <w:divBdr>
                                                        <w:top w:val="none" w:sz="0" w:space="0" w:color="auto"/>
                                                        <w:left w:val="none" w:sz="0" w:space="0" w:color="auto"/>
                                                        <w:bottom w:val="none" w:sz="0" w:space="0" w:color="auto"/>
                                                        <w:right w:val="none" w:sz="0" w:space="0" w:color="auto"/>
                                                      </w:divBdr>
                                                    </w:div>
                                                    <w:div w:id="1779791816">
                                                      <w:marLeft w:val="0"/>
                                                      <w:marRight w:val="0"/>
                                                      <w:marTop w:val="0"/>
                                                      <w:marBottom w:val="0"/>
                                                      <w:divBdr>
                                                        <w:top w:val="none" w:sz="0" w:space="0" w:color="auto"/>
                                                        <w:left w:val="none" w:sz="0" w:space="0" w:color="auto"/>
                                                        <w:bottom w:val="none" w:sz="0" w:space="0" w:color="auto"/>
                                                        <w:right w:val="none" w:sz="0" w:space="0" w:color="auto"/>
                                                      </w:divBdr>
                                                    </w:div>
                                                    <w:div w:id="1306426859">
                                                      <w:marLeft w:val="0"/>
                                                      <w:marRight w:val="0"/>
                                                      <w:marTop w:val="0"/>
                                                      <w:marBottom w:val="0"/>
                                                      <w:divBdr>
                                                        <w:top w:val="none" w:sz="0" w:space="0" w:color="auto"/>
                                                        <w:left w:val="none" w:sz="0" w:space="0" w:color="auto"/>
                                                        <w:bottom w:val="none" w:sz="0" w:space="0" w:color="auto"/>
                                                        <w:right w:val="none" w:sz="0" w:space="0" w:color="auto"/>
                                                      </w:divBdr>
                                                    </w:div>
                                                    <w:div w:id="1094939877">
                                                      <w:marLeft w:val="0"/>
                                                      <w:marRight w:val="0"/>
                                                      <w:marTop w:val="0"/>
                                                      <w:marBottom w:val="0"/>
                                                      <w:divBdr>
                                                        <w:top w:val="none" w:sz="0" w:space="0" w:color="auto"/>
                                                        <w:left w:val="none" w:sz="0" w:space="0" w:color="auto"/>
                                                        <w:bottom w:val="none" w:sz="0" w:space="0" w:color="auto"/>
                                                        <w:right w:val="none" w:sz="0" w:space="0" w:color="auto"/>
                                                      </w:divBdr>
                                                    </w:div>
                                                    <w:div w:id="821193641">
                                                      <w:marLeft w:val="0"/>
                                                      <w:marRight w:val="0"/>
                                                      <w:marTop w:val="0"/>
                                                      <w:marBottom w:val="0"/>
                                                      <w:divBdr>
                                                        <w:top w:val="none" w:sz="0" w:space="0" w:color="auto"/>
                                                        <w:left w:val="none" w:sz="0" w:space="0" w:color="auto"/>
                                                        <w:bottom w:val="none" w:sz="0" w:space="0" w:color="auto"/>
                                                        <w:right w:val="none" w:sz="0" w:space="0" w:color="auto"/>
                                                      </w:divBdr>
                                                    </w:div>
                                                    <w:div w:id="1243954244">
                                                      <w:marLeft w:val="0"/>
                                                      <w:marRight w:val="0"/>
                                                      <w:marTop w:val="0"/>
                                                      <w:marBottom w:val="0"/>
                                                      <w:divBdr>
                                                        <w:top w:val="none" w:sz="0" w:space="0" w:color="auto"/>
                                                        <w:left w:val="none" w:sz="0" w:space="0" w:color="auto"/>
                                                        <w:bottom w:val="none" w:sz="0" w:space="0" w:color="auto"/>
                                                        <w:right w:val="none" w:sz="0" w:space="0" w:color="auto"/>
                                                      </w:divBdr>
                                                    </w:div>
                                                  </w:divsChild>
                                                </w:div>
                                                <w:div w:id="33777467">
                                                  <w:marLeft w:val="0"/>
                                                  <w:marRight w:val="0"/>
                                                  <w:marTop w:val="225"/>
                                                  <w:marBottom w:val="0"/>
                                                  <w:divBdr>
                                                    <w:top w:val="none" w:sz="0" w:space="0" w:color="auto"/>
                                                    <w:left w:val="none" w:sz="0" w:space="0" w:color="auto"/>
                                                    <w:bottom w:val="none" w:sz="0" w:space="0" w:color="auto"/>
                                                    <w:right w:val="none" w:sz="0" w:space="0" w:color="auto"/>
                                                  </w:divBdr>
                                                  <w:divsChild>
                                                    <w:div w:id="1588730081">
                                                      <w:marLeft w:val="0"/>
                                                      <w:marRight w:val="0"/>
                                                      <w:marTop w:val="0"/>
                                                      <w:marBottom w:val="0"/>
                                                      <w:divBdr>
                                                        <w:top w:val="none" w:sz="0" w:space="0" w:color="auto"/>
                                                        <w:left w:val="none" w:sz="0" w:space="0" w:color="auto"/>
                                                        <w:bottom w:val="none" w:sz="0" w:space="0" w:color="auto"/>
                                                        <w:right w:val="none" w:sz="0" w:space="0" w:color="auto"/>
                                                      </w:divBdr>
                                                    </w:div>
                                                    <w:div w:id="2110008850">
                                                      <w:marLeft w:val="0"/>
                                                      <w:marRight w:val="0"/>
                                                      <w:marTop w:val="0"/>
                                                      <w:marBottom w:val="0"/>
                                                      <w:divBdr>
                                                        <w:top w:val="none" w:sz="0" w:space="0" w:color="auto"/>
                                                        <w:left w:val="none" w:sz="0" w:space="0" w:color="auto"/>
                                                        <w:bottom w:val="none" w:sz="0" w:space="0" w:color="auto"/>
                                                        <w:right w:val="none" w:sz="0" w:space="0" w:color="auto"/>
                                                      </w:divBdr>
                                                    </w:div>
                                                    <w:div w:id="279148156">
                                                      <w:marLeft w:val="0"/>
                                                      <w:marRight w:val="0"/>
                                                      <w:marTop w:val="0"/>
                                                      <w:marBottom w:val="0"/>
                                                      <w:divBdr>
                                                        <w:top w:val="none" w:sz="0" w:space="0" w:color="auto"/>
                                                        <w:left w:val="none" w:sz="0" w:space="0" w:color="auto"/>
                                                        <w:bottom w:val="none" w:sz="0" w:space="0" w:color="auto"/>
                                                        <w:right w:val="none" w:sz="0" w:space="0" w:color="auto"/>
                                                      </w:divBdr>
                                                    </w:div>
                                                    <w:div w:id="673384643">
                                                      <w:marLeft w:val="0"/>
                                                      <w:marRight w:val="0"/>
                                                      <w:marTop w:val="0"/>
                                                      <w:marBottom w:val="0"/>
                                                      <w:divBdr>
                                                        <w:top w:val="none" w:sz="0" w:space="0" w:color="auto"/>
                                                        <w:left w:val="none" w:sz="0" w:space="0" w:color="auto"/>
                                                        <w:bottom w:val="none" w:sz="0" w:space="0" w:color="auto"/>
                                                        <w:right w:val="none" w:sz="0" w:space="0" w:color="auto"/>
                                                      </w:divBdr>
                                                    </w:div>
                                                    <w:div w:id="601913793">
                                                      <w:marLeft w:val="0"/>
                                                      <w:marRight w:val="0"/>
                                                      <w:marTop w:val="0"/>
                                                      <w:marBottom w:val="0"/>
                                                      <w:divBdr>
                                                        <w:top w:val="none" w:sz="0" w:space="0" w:color="auto"/>
                                                        <w:left w:val="none" w:sz="0" w:space="0" w:color="auto"/>
                                                        <w:bottom w:val="none" w:sz="0" w:space="0" w:color="auto"/>
                                                        <w:right w:val="none" w:sz="0" w:space="0" w:color="auto"/>
                                                      </w:divBdr>
                                                    </w:div>
                                                  </w:divsChild>
                                                </w:div>
                                                <w:div w:id="17447897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286661">
          <w:marLeft w:val="0"/>
          <w:marRight w:val="0"/>
          <w:marTop w:val="0"/>
          <w:marBottom w:val="0"/>
          <w:divBdr>
            <w:top w:val="none" w:sz="0" w:space="0" w:color="auto"/>
            <w:left w:val="none" w:sz="0" w:space="0" w:color="auto"/>
            <w:bottom w:val="none" w:sz="0" w:space="0" w:color="auto"/>
            <w:right w:val="none" w:sz="0" w:space="0" w:color="auto"/>
          </w:divBdr>
          <w:divsChild>
            <w:div w:id="344674244">
              <w:marLeft w:val="0"/>
              <w:marRight w:val="0"/>
              <w:marTop w:val="0"/>
              <w:marBottom w:val="0"/>
              <w:divBdr>
                <w:top w:val="none" w:sz="0" w:space="0" w:color="auto"/>
                <w:left w:val="none" w:sz="0" w:space="0" w:color="auto"/>
                <w:bottom w:val="none" w:sz="0" w:space="0" w:color="auto"/>
                <w:right w:val="none" w:sz="0" w:space="0" w:color="auto"/>
              </w:divBdr>
              <w:divsChild>
                <w:div w:id="1356541482">
                  <w:marLeft w:val="-150"/>
                  <w:marRight w:val="-150"/>
                  <w:marTop w:val="0"/>
                  <w:marBottom w:val="0"/>
                  <w:divBdr>
                    <w:top w:val="none" w:sz="0" w:space="0" w:color="auto"/>
                    <w:left w:val="none" w:sz="0" w:space="0" w:color="auto"/>
                    <w:bottom w:val="none" w:sz="0" w:space="0" w:color="auto"/>
                    <w:right w:val="none" w:sz="0" w:space="0" w:color="auto"/>
                  </w:divBdr>
                  <w:divsChild>
                    <w:div w:id="427123752">
                      <w:marLeft w:val="0"/>
                      <w:marRight w:val="0"/>
                      <w:marTop w:val="0"/>
                      <w:marBottom w:val="0"/>
                      <w:divBdr>
                        <w:top w:val="none" w:sz="0" w:space="0" w:color="auto"/>
                        <w:left w:val="none" w:sz="0" w:space="0" w:color="auto"/>
                        <w:bottom w:val="none" w:sz="0" w:space="0" w:color="auto"/>
                        <w:right w:val="none" w:sz="0" w:space="0" w:color="auto"/>
                      </w:divBdr>
                    </w:div>
                    <w:div w:id="1339312383">
                      <w:marLeft w:val="225"/>
                      <w:marRight w:val="0"/>
                      <w:marTop w:val="0"/>
                      <w:marBottom w:val="0"/>
                      <w:divBdr>
                        <w:top w:val="none" w:sz="0" w:space="0" w:color="auto"/>
                        <w:left w:val="none" w:sz="0" w:space="0" w:color="auto"/>
                        <w:bottom w:val="none" w:sz="0" w:space="0" w:color="auto"/>
                        <w:right w:val="none" w:sz="0" w:space="0" w:color="auto"/>
                      </w:divBdr>
                    </w:div>
                    <w:div w:id="14772609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itspraken.rechtspraak.nl/inziendocument?id=ECLI:NL:RVS:2016:2076" TargetMode="Externa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Wilson Solicitors LLP</Company>
  <LinksUpToDate>false</LinksUpToDate>
  <CharactersWithSpaces>18486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dc:creator>
  <cp:lastModifiedBy>Amanda Taylor</cp:lastModifiedBy>
  <cp:revision>2</cp:revision>
  <dcterms:created xsi:type="dcterms:W3CDTF">2016-10-11T15:06:00Z</dcterms:created>
  <dcterms:modified xsi:type="dcterms:W3CDTF">2016-10-11T15:06:00Z</dcterms:modified>
</cp:coreProperties>
</file>