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CB3" w:rsidRPr="005C50CD" w:rsidRDefault="00E77CB3" w:rsidP="005C50CD">
      <w:pPr>
        <w:jc w:val="center"/>
        <w:rPr>
          <w:lang w:val="fr-FR"/>
        </w:rPr>
      </w:pPr>
      <w:bookmarkStart w:id="0" w:name="_GoBack"/>
      <w:bookmarkEnd w:id="0"/>
    </w:p>
    <w:p w:rsidR="00AE19D6" w:rsidRPr="005C50CD" w:rsidRDefault="00AE19D6" w:rsidP="005C50CD">
      <w:pPr>
        <w:jc w:val="center"/>
        <w:rPr>
          <w:lang w:val="fr-FR"/>
        </w:rPr>
      </w:pPr>
    </w:p>
    <w:p w:rsidR="00AE19D6" w:rsidRPr="005C50CD" w:rsidRDefault="00AE19D6" w:rsidP="005C50CD">
      <w:pPr>
        <w:jc w:val="center"/>
        <w:rPr>
          <w:lang w:val="fr-FR"/>
        </w:rPr>
      </w:pPr>
    </w:p>
    <w:p w:rsidR="00E77CB3" w:rsidRPr="005C50CD" w:rsidRDefault="008D400B" w:rsidP="005C50CD">
      <w:pPr>
        <w:jc w:val="center"/>
        <w:rPr>
          <w:lang w:val="fr-FR"/>
        </w:rPr>
      </w:pPr>
      <w:r w:rsidRPr="005C50CD">
        <w:rPr>
          <w:lang w:val="fr-FR"/>
        </w:rPr>
        <w:t>CINQUIÈME SECTION</w:t>
      </w:r>
    </w:p>
    <w:p w:rsidR="00E77CB3" w:rsidRPr="005C50CD" w:rsidRDefault="00E77CB3" w:rsidP="005C50CD">
      <w:pPr>
        <w:jc w:val="center"/>
        <w:rPr>
          <w:lang w:val="fr-FR"/>
        </w:rPr>
      </w:pPr>
    </w:p>
    <w:p w:rsidR="00AE19D6" w:rsidRPr="005C50CD" w:rsidRDefault="00AE19D6" w:rsidP="005C50CD">
      <w:pPr>
        <w:jc w:val="center"/>
        <w:rPr>
          <w:lang w:val="fr-FR"/>
        </w:rPr>
      </w:pPr>
    </w:p>
    <w:p w:rsidR="00AE19D6" w:rsidRPr="005C50CD" w:rsidRDefault="00AE19D6" w:rsidP="005C50CD">
      <w:pPr>
        <w:jc w:val="center"/>
        <w:rPr>
          <w:lang w:val="fr-FR"/>
        </w:rPr>
      </w:pPr>
    </w:p>
    <w:p w:rsidR="00AE19D6" w:rsidRPr="005C50CD" w:rsidRDefault="00AE19D6" w:rsidP="005C50CD">
      <w:pPr>
        <w:jc w:val="center"/>
        <w:rPr>
          <w:lang w:val="fr-FR"/>
        </w:rPr>
      </w:pPr>
    </w:p>
    <w:p w:rsidR="00AE19D6" w:rsidRPr="005C50CD" w:rsidRDefault="00AE19D6" w:rsidP="005C50CD">
      <w:pPr>
        <w:jc w:val="center"/>
        <w:rPr>
          <w:lang w:val="fr-FR"/>
        </w:rPr>
      </w:pPr>
    </w:p>
    <w:p w:rsidR="00AE19D6" w:rsidRPr="005C50CD" w:rsidRDefault="00AE19D6" w:rsidP="005C50CD">
      <w:pPr>
        <w:jc w:val="center"/>
        <w:rPr>
          <w:lang w:val="fr-FR"/>
        </w:rPr>
      </w:pPr>
    </w:p>
    <w:p w:rsidR="00E77CB3" w:rsidRPr="005C50CD" w:rsidRDefault="00E77CB3" w:rsidP="005C50CD">
      <w:pPr>
        <w:jc w:val="center"/>
        <w:rPr>
          <w:b/>
          <w:lang w:val="fr-FR"/>
        </w:rPr>
      </w:pPr>
      <w:bookmarkStart w:id="1" w:name="To"/>
      <w:r w:rsidRPr="005C50CD">
        <w:rPr>
          <w:b/>
          <w:lang w:val="fr-FR"/>
        </w:rPr>
        <w:t xml:space="preserve">AFFAIRE </w:t>
      </w:r>
      <w:bookmarkEnd w:id="1"/>
      <w:r w:rsidR="008D400B" w:rsidRPr="005C50CD">
        <w:rPr>
          <w:b/>
          <w:lang w:val="fr-FR"/>
        </w:rPr>
        <w:t>R.V. c. FRANCE</w:t>
      </w:r>
    </w:p>
    <w:p w:rsidR="00E77CB3" w:rsidRPr="005C50CD" w:rsidRDefault="00E77CB3" w:rsidP="005C50CD">
      <w:pPr>
        <w:jc w:val="center"/>
        <w:rPr>
          <w:lang w:val="fr-FR"/>
        </w:rPr>
      </w:pPr>
    </w:p>
    <w:p w:rsidR="00AE19D6" w:rsidRPr="005C50CD" w:rsidRDefault="00E77CB3" w:rsidP="005C50CD">
      <w:pPr>
        <w:jc w:val="center"/>
        <w:rPr>
          <w:szCs w:val="24"/>
          <w:lang w:val="fr-FR"/>
        </w:rPr>
      </w:pPr>
      <w:r w:rsidRPr="005C50CD">
        <w:rPr>
          <w:i/>
          <w:lang w:val="fr-FR"/>
        </w:rPr>
        <w:t>(</w:t>
      </w:r>
      <w:r w:rsidR="008D400B" w:rsidRPr="005C50CD">
        <w:rPr>
          <w:i/>
          <w:lang w:val="fr-FR"/>
        </w:rPr>
        <w:t>Requête n</w:t>
      </w:r>
      <w:r w:rsidR="008D400B" w:rsidRPr="005C50CD">
        <w:rPr>
          <w:i/>
          <w:vertAlign w:val="superscript"/>
          <w:lang w:val="fr-FR"/>
        </w:rPr>
        <w:t>o</w:t>
      </w:r>
      <w:r w:rsidR="008D400B" w:rsidRPr="005C50CD">
        <w:rPr>
          <w:i/>
          <w:lang w:val="fr-FR"/>
        </w:rPr>
        <w:t xml:space="preserve"> 78514/14</w:t>
      </w:r>
      <w:r w:rsidRPr="005C50CD">
        <w:rPr>
          <w:i/>
          <w:lang w:val="fr-FR"/>
        </w:rPr>
        <w:t>)</w:t>
      </w:r>
    </w:p>
    <w:p w:rsidR="00AE19D6" w:rsidRPr="005C50CD" w:rsidRDefault="00AE19D6" w:rsidP="005C50CD">
      <w:pPr>
        <w:jc w:val="center"/>
        <w:rPr>
          <w:szCs w:val="24"/>
          <w:u w:val="single"/>
          <w:lang w:val="fr-FR"/>
        </w:rPr>
      </w:pPr>
    </w:p>
    <w:p w:rsidR="00AE19D6" w:rsidRPr="005C50CD" w:rsidRDefault="00AE19D6" w:rsidP="005C50CD">
      <w:pPr>
        <w:jc w:val="center"/>
        <w:rPr>
          <w:szCs w:val="24"/>
          <w:u w:val="single"/>
          <w:lang w:val="fr-FR"/>
        </w:rPr>
      </w:pPr>
    </w:p>
    <w:p w:rsidR="00AE19D6" w:rsidRPr="005C50CD" w:rsidRDefault="00AE19D6" w:rsidP="005C50CD">
      <w:pPr>
        <w:jc w:val="center"/>
        <w:rPr>
          <w:szCs w:val="24"/>
          <w:u w:val="single"/>
          <w:lang w:val="fr-FR"/>
        </w:rPr>
      </w:pPr>
    </w:p>
    <w:p w:rsidR="00AE19D6" w:rsidRPr="005C50CD" w:rsidRDefault="00AE19D6" w:rsidP="005C50CD">
      <w:pPr>
        <w:jc w:val="center"/>
        <w:rPr>
          <w:szCs w:val="24"/>
          <w:u w:val="single"/>
          <w:lang w:val="fr-FR"/>
        </w:rPr>
      </w:pPr>
    </w:p>
    <w:p w:rsidR="00AE19D6" w:rsidRPr="005C50CD" w:rsidRDefault="00AE19D6" w:rsidP="005C50CD">
      <w:pPr>
        <w:jc w:val="center"/>
        <w:rPr>
          <w:szCs w:val="24"/>
          <w:u w:val="single"/>
          <w:lang w:val="fr-FR"/>
        </w:rPr>
      </w:pPr>
    </w:p>
    <w:p w:rsidR="00AE19D6" w:rsidRPr="005C50CD" w:rsidRDefault="00AE19D6" w:rsidP="005C50CD">
      <w:pPr>
        <w:jc w:val="center"/>
        <w:rPr>
          <w:szCs w:val="24"/>
          <w:u w:val="single"/>
          <w:lang w:val="fr-FR"/>
        </w:rPr>
      </w:pPr>
    </w:p>
    <w:p w:rsidR="005C50CD" w:rsidRPr="005C50CD" w:rsidRDefault="005C50CD" w:rsidP="005C50CD">
      <w:pPr>
        <w:jc w:val="center"/>
        <w:rPr>
          <w:szCs w:val="24"/>
          <w:u w:val="single"/>
          <w:lang w:val="fr-FR"/>
        </w:rPr>
      </w:pPr>
    </w:p>
    <w:p w:rsidR="005C50CD" w:rsidRPr="005C50CD" w:rsidRDefault="005C50CD" w:rsidP="005C50CD">
      <w:pPr>
        <w:jc w:val="center"/>
        <w:rPr>
          <w:szCs w:val="24"/>
          <w:u w:val="single"/>
          <w:lang w:val="fr-FR"/>
        </w:rPr>
      </w:pPr>
    </w:p>
    <w:p w:rsidR="00AE19D6" w:rsidRPr="005C50CD" w:rsidRDefault="00AE19D6" w:rsidP="005C50CD">
      <w:pPr>
        <w:jc w:val="center"/>
        <w:rPr>
          <w:szCs w:val="24"/>
          <w:u w:val="single"/>
          <w:lang w:val="fr-FR"/>
        </w:rPr>
      </w:pPr>
    </w:p>
    <w:p w:rsidR="00AE19D6" w:rsidRPr="005C50CD" w:rsidRDefault="00AE19D6" w:rsidP="005C50CD">
      <w:pPr>
        <w:jc w:val="center"/>
        <w:rPr>
          <w:szCs w:val="24"/>
          <w:u w:val="single"/>
          <w:lang w:val="fr-FR"/>
        </w:rPr>
      </w:pPr>
    </w:p>
    <w:p w:rsidR="00AE19D6" w:rsidRPr="005C50CD" w:rsidRDefault="00AE19D6" w:rsidP="005C50CD">
      <w:pPr>
        <w:jc w:val="center"/>
        <w:rPr>
          <w:szCs w:val="24"/>
          <w:u w:val="single"/>
          <w:lang w:val="fr-FR"/>
        </w:rPr>
      </w:pPr>
    </w:p>
    <w:p w:rsidR="00AE19D6" w:rsidRPr="005C50CD" w:rsidRDefault="00AE19D6" w:rsidP="005C50CD">
      <w:pPr>
        <w:jc w:val="center"/>
        <w:rPr>
          <w:szCs w:val="24"/>
          <w:lang w:val="fr-FR"/>
        </w:rPr>
      </w:pPr>
      <w:r w:rsidRPr="005C50CD">
        <w:rPr>
          <w:szCs w:val="24"/>
          <w:lang w:val="fr-FR"/>
        </w:rPr>
        <w:t>ARRÊT</w:t>
      </w:r>
    </w:p>
    <w:p w:rsidR="00E77CB3" w:rsidRPr="005C50CD" w:rsidRDefault="00E77CB3" w:rsidP="005C50CD">
      <w:pPr>
        <w:jc w:val="center"/>
        <w:rPr>
          <w:szCs w:val="24"/>
          <w:lang w:val="fr-FR"/>
        </w:rPr>
      </w:pPr>
    </w:p>
    <w:p w:rsidR="00AE19D6" w:rsidRPr="005C50CD" w:rsidRDefault="00AE19D6" w:rsidP="005C50CD">
      <w:pPr>
        <w:jc w:val="center"/>
        <w:rPr>
          <w:szCs w:val="24"/>
          <w:lang w:val="fr-FR"/>
        </w:rPr>
      </w:pPr>
    </w:p>
    <w:p w:rsidR="00AE19D6" w:rsidRPr="005C50CD" w:rsidRDefault="00AE19D6" w:rsidP="005C50CD">
      <w:pPr>
        <w:jc w:val="center"/>
        <w:rPr>
          <w:szCs w:val="24"/>
          <w:lang w:val="fr-FR"/>
        </w:rPr>
      </w:pPr>
    </w:p>
    <w:p w:rsidR="00AE19D6" w:rsidRPr="005C50CD" w:rsidRDefault="00AE19D6" w:rsidP="005C50CD">
      <w:pPr>
        <w:jc w:val="center"/>
        <w:rPr>
          <w:szCs w:val="24"/>
          <w:lang w:val="fr-FR"/>
        </w:rPr>
      </w:pPr>
    </w:p>
    <w:p w:rsidR="00AE19D6" w:rsidRPr="005C50CD" w:rsidRDefault="00AE19D6" w:rsidP="005C50CD">
      <w:pPr>
        <w:jc w:val="center"/>
        <w:rPr>
          <w:szCs w:val="24"/>
          <w:lang w:val="fr-FR"/>
        </w:rPr>
      </w:pPr>
    </w:p>
    <w:p w:rsidR="00AE19D6" w:rsidRPr="005C50CD" w:rsidRDefault="00AE19D6" w:rsidP="005C50CD">
      <w:pPr>
        <w:jc w:val="center"/>
        <w:rPr>
          <w:szCs w:val="24"/>
          <w:lang w:val="fr-FR"/>
        </w:rPr>
      </w:pPr>
      <w:r w:rsidRPr="005C50CD">
        <w:rPr>
          <w:szCs w:val="24"/>
          <w:lang w:val="fr-FR"/>
        </w:rPr>
        <w:t>STRASBOURG</w:t>
      </w:r>
    </w:p>
    <w:p w:rsidR="00AE19D6" w:rsidRPr="005C50CD" w:rsidRDefault="00AE19D6" w:rsidP="005C50CD">
      <w:pPr>
        <w:jc w:val="center"/>
        <w:rPr>
          <w:szCs w:val="24"/>
          <w:lang w:val="fr-FR"/>
        </w:rPr>
      </w:pPr>
    </w:p>
    <w:p w:rsidR="00AE19D6" w:rsidRPr="005C50CD" w:rsidRDefault="00EB06CB" w:rsidP="005C50CD">
      <w:pPr>
        <w:jc w:val="center"/>
        <w:rPr>
          <w:szCs w:val="24"/>
          <w:lang w:val="fr-FR"/>
        </w:rPr>
      </w:pPr>
      <w:r w:rsidRPr="005C50CD">
        <w:rPr>
          <w:szCs w:val="24"/>
          <w:lang w:val="fr-FR"/>
        </w:rPr>
        <w:t>7 juillet 2016</w:t>
      </w:r>
    </w:p>
    <w:p w:rsidR="00AE19D6" w:rsidRPr="005C50CD" w:rsidRDefault="00AE19D6" w:rsidP="005C50CD">
      <w:pPr>
        <w:jc w:val="center"/>
        <w:rPr>
          <w:szCs w:val="24"/>
          <w:lang w:val="fr-FR"/>
        </w:rPr>
      </w:pPr>
    </w:p>
    <w:p w:rsidR="00E97DF8" w:rsidRPr="005C50CD" w:rsidRDefault="00E97DF8" w:rsidP="005C50CD">
      <w:pPr>
        <w:jc w:val="center"/>
        <w:rPr>
          <w:szCs w:val="24"/>
          <w:lang w:val="fr-FR"/>
        </w:rPr>
      </w:pPr>
    </w:p>
    <w:p w:rsidR="00E97DF8" w:rsidRPr="005C50CD" w:rsidRDefault="00E97DF8" w:rsidP="005C50CD">
      <w:pPr>
        <w:jc w:val="center"/>
        <w:rPr>
          <w:szCs w:val="24"/>
          <w:lang w:val="fr-FR"/>
        </w:rPr>
      </w:pPr>
    </w:p>
    <w:p w:rsidR="00AE19D6" w:rsidRPr="005C50CD" w:rsidRDefault="00AE19D6" w:rsidP="005C50CD">
      <w:pPr>
        <w:jc w:val="left"/>
        <w:rPr>
          <w:i/>
          <w:szCs w:val="24"/>
          <w:lang w:val="fr-FR"/>
        </w:rPr>
      </w:pPr>
      <w:r w:rsidRPr="005C50CD">
        <w:rPr>
          <w:i/>
          <w:szCs w:val="24"/>
          <w:lang w:val="fr-FR"/>
        </w:rPr>
        <w:t>Cet arrêt deviendra définitif dans les conditions définies à l</w:t>
      </w:r>
      <w:r w:rsidR="005C50CD" w:rsidRPr="005C50CD">
        <w:rPr>
          <w:i/>
          <w:szCs w:val="24"/>
          <w:lang w:val="fr-FR"/>
        </w:rPr>
        <w:t>’</w:t>
      </w:r>
      <w:r w:rsidRPr="005C50CD">
        <w:rPr>
          <w:i/>
          <w:szCs w:val="24"/>
          <w:lang w:val="fr-FR"/>
        </w:rPr>
        <w:t>article 44 § 2 de la Convention. Il peut subir des retouches de forme.</w:t>
      </w:r>
    </w:p>
    <w:p w:rsidR="005C50CD" w:rsidRPr="005C50CD" w:rsidRDefault="005C50CD" w:rsidP="005C50CD">
      <w:pPr>
        <w:pStyle w:val="ECHRPara"/>
        <w:ind w:firstLine="0"/>
        <w:jc w:val="left"/>
        <w:rPr>
          <w:lang w:val="fr-FR"/>
        </w:rPr>
        <w:sectPr w:rsidR="005C50CD" w:rsidRPr="005C50CD" w:rsidSect="00AE19D6">
          <w:headerReference w:type="default" r:id="rId11"/>
          <w:headerReference w:type="first" r:id="rId12"/>
          <w:footerReference w:type="first" r:id="rId13"/>
          <w:footnotePr>
            <w:numRestart w:val="eachSect"/>
          </w:footnotePr>
          <w:pgSz w:w="11906" w:h="16838" w:code="9"/>
          <w:pgMar w:top="2274" w:right="2274" w:bottom="2274" w:left="2274" w:header="1701" w:footer="720" w:gutter="0"/>
          <w:pgNumType w:start="1"/>
          <w:cols w:space="720"/>
          <w:titlePg/>
          <w:docGrid w:linePitch="326"/>
        </w:sectPr>
      </w:pPr>
    </w:p>
    <w:p w:rsidR="00E77CB3" w:rsidRPr="005C50CD" w:rsidRDefault="00E77CB3" w:rsidP="005C50CD">
      <w:pPr>
        <w:pStyle w:val="JuCase"/>
        <w:rPr>
          <w:lang w:val="fr-FR"/>
        </w:rPr>
      </w:pPr>
      <w:r w:rsidRPr="005C50CD">
        <w:rPr>
          <w:lang w:val="fr-FR"/>
        </w:rPr>
        <w:lastRenderedPageBreak/>
        <w:t>En l</w:t>
      </w:r>
      <w:r w:rsidR="005C50CD" w:rsidRPr="005C50CD">
        <w:rPr>
          <w:lang w:val="fr-FR"/>
        </w:rPr>
        <w:t>’</w:t>
      </w:r>
      <w:r w:rsidRPr="005C50CD">
        <w:rPr>
          <w:lang w:val="fr-FR"/>
        </w:rPr>
        <w:t xml:space="preserve">affaire </w:t>
      </w:r>
      <w:r w:rsidR="008D400B" w:rsidRPr="005C50CD">
        <w:rPr>
          <w:lang w:val="fr-FR"/>
        </w:rPr>
        <w:t>R.V. c. France</w:t>
      </w:r>
      <w:r w:rsidRPr="005C50CD">
        <w:rPr>
          <w:lang w:val="fr-FR"/>
        </w:rPr>
        <w:t>,</w:t>
      </w:r>
    </w:p>
    <w:p w:rsidR="00E77CB3" w:rsidRPr="005C50CD" w:rsidRDefault="00E77CB3" w:rsidP="005C50CD">
      <w:pPr>
        <w:pStyle w:val="ECHRPara"/>
        <w:rPr>
          <w:lang w:val="fr-FR"/>
        </w:rPr>
      </w:pPr>
      <w:r w:rsidRPr="005C50CD">
        <w:rPr>
          <w:lang w:val="fr-FR"/>
        </w:rPr>
        <w:t>La Cour européenne des droits de l</w:t>
      </w:r>
      <w:r w:rsidR="005C50CD" w:rsidRPr="005C50CD">
        <w:rPr>
          <w:lang w:val="fr-FR"/>
        </w:rPr>
        <w:t>’</w:t>
      </w:r>
      <w:r w:rsidRPr="005C50CD">
        <w:rPr>
          <w:lang w:val="fr-FR"/>
        </w:rPr>
        <w:t>homme (</w:t>
      </w:r>
      <w:r w:rsidR="008D400B" w:rsidRPr="005C50CD">
        <w:rPr>
          <w:lang w:val="fr-FR"/>
        </w:rPr>
        <w:t>cinquième section</w:t>
      </w:r>
      <w:r w:rsidRPr="005C50CD">
        <w:rPr>
          <w:lang w:val="fr-FR"/>
        </w:rPr>
        <w:t xml:space="preserve">), siégeant en </w:t>
      </w:r>
      <w:r w:rsidR="008D400B" w:rsidRPr="005C50CD">
        <w:rPr>
          <w:lang w:val="fr-FR"/>
        </w:rPr>
        <w:t>une chambre composée</w:t>
      </w:r>
      <w:r w:rsidRPr="005C50CD">
        <w:rPr>
          <w:lang w:val="fr-FR"/>
        </w:rPr>
        <w:t xml:space="preserve"> de :</w:t>
      </w:r>
    </w:p>
    <w:p w:rsidR="00E77CB3" w:rsidRPr="005C50CD" w:rsidRDefault="00AE19D6" w:rsidP="005C50CD">
      <w:pPr>
        <w:pStyle w:val="ECHRDecisionBody"/>
        <w:rPr>
          <w:lang w:val="fr-FR"/>
        </w:rPr>
      </w:pPr>
      <w:r w:rsidRPr="005C50CD">
        <w:rPr>
          <w:lang w:val="fr-FR"/>
        </w:rPr>
        <w:tab/>
        <w:t>Angelika Nußberger,</w:t>
      </w:r>
      <w:r w:rsidRPr="005C50CD">
        <w:rPr>
          <w:i/>
          <w:lang w:val="fr-FR"/>
        </w:rPr>
        <w:t xml:space="preserve"> présidente,</w:t>
      </w:r>
      <w:r w:rsidRPr="005C50CD">
        <w:rPr>
          <w:i/>
          <w:lang w:val="fr-FR"/>
        </w:rPr>
        <w:br/>
      </w:r>
      <w:r w:rsidRPr="005C50CD">
        <w:rPr>
          <w:lang w:val="fr-FR"/>
        </w:rPr>
        <w:tab/>
        <w:t>Ganna Yudkivska,</w:t>
      </w:r>
      <w:r w:rsidRPr="005C50CD">
        <w:rPr>
          <w:i/>
          <w:lang w:val="fr-FR"/>
        </w:rPr>
        <w:br/>
      </w:r>
      <w:r w:rsidRPr="005C50CD">
        <w:rPr>
          <w:lang w:val="fr-FR"/>
        </w:rPr>
        <w:tab/>
        <w:t>Khanlar Hajiyev,</w:t>
      </w:r>
      <w:r w:rsidRPr="005C50CD">
        <w:rPr>
          <w:i/>
          <w:lang w:val="fr-FR"/>
        </w:rPr>
        <w:br/>
      </w:r>
      <w:r w:rsidRPr="005C50CD">
        <w:rPr>
          <w:lang w:val="fr-FR"/>
        </w:rPr>
        <w:tab/>
        <w:t>Erik Møse,</w:t>
      </w:r>
      <w:r w:rsidRPr="005C50CD">
        <w:rPr>
          <w:i/>
          <w:lang w:val="fr-FR"/>
        </w:rPr>
        <w:br/>
      </w:r>
      <w:r w:rsidRPr="005C50CD">
        <w:rPr>
          <w:lang w:val="fr-FR"/>
        </w:rPr>
        <w:tab/>
        <w:t>André Potocki,</w:t>
      </w:r>
      <w:r w:rsidRPr="005C50CD">
        <w:rPr>
          <w:i/>
          <w:lang w:val="fr-FR"/>
        </w:rPr>
        <w:br/>
      </w:r>
      <w:r w:rsidRPr="005C50CD">
        <w:rPr>
          <w:lang w:val="fr-FR"/>
        </w:rPr>
        <w:tab/>
        <w:t>Síofra O</w:t>
      </w:r>
      <w:r w:rsidR="005C50CD" w:rsidRPr="005C50CD">
        <w:rPr>
          <w:lang w:val="fr-FR"/>
        </w:rPr>
        <w:t>’</w:t>
      </w:r>
      <w:r w:rsidRPr="005C50CD">
        <w:rPr>
          <w:lang w:val="fr-FR"/>
        </w:rPr>
        <w:t>Leary,</w:t>
      </w:r>
      <w:r w:rsidRPr="005C50CD">
        <w:rPr>
          <w:i/>
          <w:lang w:val="fr-FR"/>
        </w:rPr>
        <w:br/>
      </w:r>
      <w:r w:rsidRPr="005C50CD">
        <w:rPr>
          <w:lang w:val="fr-FR"/>
        </w:rPr>
        <w:tab/>
        <w:t>Mārtiņš Mits,</w:t>
      </w:r>
      <w:r w:rsidRPr="005C50CD">
        <w:rPr>
          <w:i/>
          <w:lang w:val="fr-FR"/>
        </w:rPr>
        <w:t xml:space="preserve"> juges,</w:t>
      </w:r>
      <w:r w:rsidRPr="005C50CD">
        <w:rPr>
          <w:i/>
          <w:lang w:val="fr-FR"/>
        </w:rPr>
        <w:br/>
      </w:r>
      <w:r w:rsidR="00E77CB3" w:rsidRPr="005C50CD">
        <w:rPr>
          <w:lang w:val="fr-FR"/>
        </w:rPr>
        <w:t xml:space="preserve">et de </w:t>
      </w:r>
      <w:r w:rsidR="008D400B" w:rsidRPr="005C50CD">
        <w:rPr>
          <w:lang w:val="fr-FR"/>
        </w:rPr>
        <w:t>Claudia Westerdiek</w:t>
      </w:r>
      <w:r w:rsidR="00E77CB3" w:rsidRPr="005C50CD">
        <w:rPr>
          <w:lang w:val="fr-FR"/>
        </w:rPr>
        <w:t xml:space="preserve">, </w:t>
      </w:r>
      <w:r w:rsidR="008D400B" w:rsidRPr="005C50CD">
        <w:rPr>
          <w:i/>
          <w:lang w:val="fr-FR"/>
        </w:rPr>
        <w:t>greffière</w:t>
      </w:r>
      <w:r w:rsidR="008D400B" w:rsidRPr="005C50CD">
        <w:rPr>
          <w:iCs/>
          <w:lang w:val="fr-FR"/>
        </w:rPr>
        <w:t xml:space="preserve"> </w:t>
      </w:r>
      <w:r w:rsidR="008D400B" w:rsidRPr="005C50CD">
        <w:rPr>
          <w:i/>
          <w:iCs/>
          <w:lang w:val="fr-FR"/>
        </w:rPr>
        <w:t>d</w:t>
      </w:r>
      <w:r w:rsidR="008D400B" w:rsidRPr="005C50CD">
        <w:rPr>
          <w:i/>
          <w:lang w:val="fr-FR"/>
        </w:rPr>
        <w:t>e section</w:t>
      </w:r>
      <w:r w:rsidR="00E77CB3" w:rsidRPr="005C50CD">
        <w:rPr>
          <w:lang w:val="fr-FR"/>
        </w:rPr>
        <w:t>,</w:t>
      </w:r>
    </w:p>
    <w:p w:rsidR="00E77CB3" w:rsidRPr="005C50CD" w:rsidRDefault="00E77CB3" w:rsidP="005C50CD">
      <w:pPr>
        <w:pStyle w:val="ECHRPara"/>
        <w:rPr>
          <w:lang w:val="fr-FR"/>
        </w:rPr>
      </w:pPr>
      <w:r w:rsidRPr="005C50CD">
        <w:rPr>
          <w:lang w:val="fr-FR"/>
        </w:rPr>
        <w:t xml:space="preserve">Après en avoir délibéré en chambre du conseil le </w:t>
      </w:r>
      <w:r w:rsidR="00AE19D6" w:rsidRPr="005C50CD">
        <w:rPr>
          <w:lang w:val="fr-FR"/>
        </w:rPr>
        <w:t>14 juin 2016</w:t>
      </w:r>
      <w:r w:rsidRPr="005C50CD">
        <w:rPr>
          <w:lang w:val="fr-FR"/>
        </w:rPr>
        <w:t>,</w:t>
      </w:r>
    </w:p>
    <w:p w:rsidR="00E77CB3" w:rsidRPr="005C50CD" w:rsidRDefault="00E77CB3" w:rsidP="005C50CD">
      <w:pPr>
        <w:pStyle w:val="ECHRPara"/>
        <w:rPr>
          <w:lang w:val="fr-FR"/>
        </w:rPr>
      </w:pPr>
      <w:r w:rsidRPr="005C50CD">
        <w:rPr>
          <w:lang w:val="fr-FR"/>
        </w:rPr>
        <w:t>Rend l</w:t>
      </w:r>
      <w:r w:rsidR="005C50CD" w:rsidRPr="005C50CD">
        <w:rPr>
          <w:lang w:val="fr-FR"/>
        </w:rPr>
        <w:t>’</w:t>
      </w:r>
      <w:r w:rsidRPr="005C50CD">
        <w:rPr>
          <w:lang w:val="fr-FR"/>
        </w:rPr>
        <w:t>arrêt que voici, adopté à cette date :</w:t>
      </w:r>
    </w:p>
    <w:p w:rsidR="00E77CB3" w:rsidRPr="005C50CD" w:rsidRDefault="00E77CB3" w:rsidP="005C50CD">
      <w:pPr>
        <w:pStyle w:val="ECHRTitle1"/>
        <w:rPr>
          <w:lang w:val="fr-FR"/>
        </w:rPr>
      </w:pPr>
      <w:r w:rsidRPr="005C50CD">
        <w:rPr>
          <w:lang w:val="fr-FR"/>
        </w:rPr>
        <w:t>PROCÉDURE</w:t>
      </w:r>
    </w:p>
    <w:p w:rsidR="00E77CB3" w:rsidRPr="005C50CD" w:rsidRDefault="008D400B"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1</w:t>
      </w:r>
      <w:r w:rsidRPr="005C50CD">
        <w:rPr>
          <w:lang w:val="fr-FR"/>
        </w:rPr>
        <w:fldChar w:fldCharType="end"/>
      </w:r>
      <w:r w:rsidR="00E77CB3" w:rsidRPr="005C50CD">
        <w:rPr>
          <w:lang w:val="fr-FR"/>
        </w:rPr>
        <w:t>.  À l</w:t>
      </w:r>
      <w:r w:rsidR="005C50CD" w:rsidRPr="005C50CD">
        <w:rPr>
          <w:lang w:val="fr-FR"/>
        </w:rPr>
        <w:t>’</w:t>
      </w:r>
      <w:r w:rsidR="00E77CB3" w:rsidRPr="005C50CD">
        <w:rPr>
          <w:lang w:val="fr-FR"/>
        </w:rPr>
        <w:t>origine de l</w:t>
      </w:r>
      <w:r w:rsidR="005C50CD" w:rsidRPr="005C50CD">
        <w:rPr>
          <w:lang w:val="fr-FR"/>
        </w:rPr>
        <w:t>’</w:t>
      </w:r>
      <w:r w:rsidR="00E77CB3" w:rsidRPr="005C50CD">
        <w:rPr>
          <w:lang w:val="fr-FR"/>
        </w:rPr>
        <w:t xml:space="preserve">affaire </w:t>
      </w:r>
      <w:r w:rsidRPr="005C50CD">
        <w:rPr>
          <w:lang w:val="fr-FR"/>
        </w:rPr>
        <w:t>se trouve une requête (n</w:t>
      </w:r>
      <w:r w:rsidRPr="005C50CD">
        <w:rPr>
          <w:vertAlign w:val="superscript"/>
          <w:lang w:val="fr-FR"/>
        </w:rPr>
        <w:t>o</w:t>
      </w:r>
      <w:r w:rsidRPr="005C50CD">
        <w:rPr>
          <w:lang w:val="fr-FR"/>
        </w:rPr>
        <w:t xml:space="preserve"> 78514/14) dirigée</w:t>
      </w:r>
      <w:r w:rsidR="00E77CB3" w:rsidRPr="005C50CD">
        <w:rPr>
          <w:lang w:val="fr-FR"/>
        </w:rPr>
        <w:t xml:space="preserve"> contre </w:t>
      </w:r>
      <w:r w:rsidRPr="005C50CD">
        <w:rPr>
          <w:lang w:val="fr-FR"/>
        </w:rPr>
        <w:t>la République française</w:t>
      </w:r>
      <w:r w:rsidR="00E77CB3" w:rsidRPr="005C50CD">
        <w:rPr>
          <w:lang w:val="fr-FR"/>
        </w:rPr>
        <w:t xml:space="preserve"> et dont </w:t>
      </w:r>
      <w:r w:rsidRPr="005C50CD">
        <w:rPr>
          <w:lang w:val="fr-FR"/>
        </w:rPr>
        <w:t xml:space="preserve">un ressortissant </w:t>
      </w:r>
      <w:r w:rsidR="0078258D" w:rsidRPr="005C50CD">
        <w:rPr>
          <w:lang w:val="fr-FR"/>
        </w:rPr>
        <w:t>russe</w:t>
      </w:r>
      <w:r w:rsidRPr="005C50CD">
        <w:rPr>
          <w:lang w:val="fr-FR"/>
        </w:rPr>
        <w:t>, M. R.V. (« le requérant »), a saisi la Cour le 22 décembre 2014</w:t>
      </w:r>
      <w:r w:rsidR="00E77CB3" w:rsidRPr="005C50CD">
        <w:rPr>
          <w:lang w:val="fr-FR"/>
        </w:rPr>
        <w:t xml:space="preserve"> en vertu de </w:t>
      </w:r>
      <w:r w:rsidRPr="005C50CD">
        <w:rPr>
          <w:lang w:val="fr-FR"/>
        </w:rPr>
        <w:t>l</w:t>
      </w:r>
      <w:r w:rsidR="005C50CD" w:rsidRPr="005C50CD">
        <w:rPr>
          <w:lang w:val="fr-FR"/>
        </w:rPr>
        <w:t>’</w:t>
      </w:r>
      <w:r w:rsidRPr="005C50CD">
        <w:rPr>
          <w:lang w:val="fr-FR"/>
        </w:rPr>
        <w:t>article 34</w:t>
      </w:r>
      <w:r w:rsidR="00E77CB3" w:rsidRPr="005C50CD">
        <w:rPr>
          <w:lang w:val="fr-FR"/>
        </w:rPr>
        <w:t xml:space="preserve"> de la Convention de sauvegarde des droits de l</w:t>
      </w:r>
      <w:r w:rsidR="005C50CD" w:rsidRPr="005C50CD">
        <w:rPr>
          <w:lang w:val="fr-FR"/>
        </w:rPr>
        <w:t>’</w:t>
      </w:r>
      <w:r w:rsidR="00E77CB3" w:rsidRPr="005C50CD">
        <w:rPr>
          <w:lang w:val="fr-FR"/>
        </w:rPr>
        <w:t>homme et des libertés fondamentales (« la Convention »).</w:t>
      </w:r>
      <w:r w:rsidRPr="005C50CD">
        <w:rPr>
          <w:lang w:val="fr-FR"/>
        </w:rPr>
        <w:t xml:space="preserve"> La présidente de la section a accédé à la demande de non-divulgation de son identité formulée par le requéran</w:t>
      </w:r>
      <w:r w:rsidR="00CC6FA0" w:rsidRPr="005C50CD">
        <w:rPr>
          <w:lang w:val="fr-FR"/>
        </w:rPr>
        <w:t>t (a</w:t>
      </w:r>
      <w:r w:rsidR="005C50CD" w:rsidRPr="005C50CD">
        <w:rPr>
          <w:lang w:val="fr-FR"/>
        </w:rPr>
        <w:t xml:space="preserve">rticle 47 </w:t>
      </w:r>
      <w:r w:rsidRPr="005C50CD">
        <w:rPr>
          <w:lang w:val="fr-FR"/>
        </w:rPr>
        <w:t>§</w:t>
      </w:r>
      <w:r w:rsidR="00CC6FA0" w:rsidRPr="005C50CD">
        <w:rPr>
          <w:lang w:val="fr-FR"/>
        </w:rPr>
        <w:t> </w:t>
      </w:r>
      <w:r w:rsidRPr="005C50CD">
        <w:rPr>
          <w:lang w:val="fr-FR"/>
        </w:rPr>
        <w:t>4 du règlement).</w:t>
      </w:r>
    </w:p>
    <w:p w:rsidR="008D400B" w:rsidRPr="005C50CD" w:rsidRDefault="008D400B"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2</w:t>
      </w:r>
      <w:r w:rsidRPr="005C50CD">
        <w:rPr>
          <w:lang w:val="fr-FR"/>
        </w:rPr>
        <w:fldChar w:fldCharType="end"/>
      </w:r>
      <w:r w:rsidR="00E77CB3" w:rsidRPr="005C50CD">
        <w:rPr>
          <w:lang w:val="fr-FR"/>
        </w:rPr>
        <w:t>.  </w:t>
      </w:r>
      <w:r w:rsidRPr="005C50CD">
        <w:rPr>
          <w:lang w:val="fr-FR"/>
        </w:rPr>
        <w:t>Le requérant, qui a été admis au bénéfice de l</w:t>
      </w:r>
      <w:r w:rsidR="005C50CD" w:rsidRPr="005C50CD">
        <w:rPr>
          <w:lang w:val="fr-FR"/>
        </w:rPr>
        <w:t>’</w:t>
      </w:r>
      <w:r w:rsidRPr="005C50CD">
        <w:rPr>
          <w:lang w:val="fr-FR"/>
        </w:rPr>
        <w:t>assistance judiciaire, a été représenté par M</w:t>
      </w:r>
      <w:r w:rsidRPr="005C50CD">
        <w:rPr>
          <w:vertAlign w:val="superscript"/>
          <w:lang w:val="fr-FR"/>
        </w:rPr>
        <w:t>e</w:t>
      </w:r>
      <w:r w:rsidR="000D2176" w:rsidRPr="005C50CD">
        <w:rPr>
          <w:lang w:val="fr-FR"/>
        </w:rPr>
        <w:t xml:space="preserve"> </w:t>
      </w:r>
      <w:r w:rsidRPr="005C50CD">
        <w:rPr>
          <w:lang w:val="fr-FR"/>
        </w:rPr>
        <w:t xml:space="preserve">S. Caminiti-Rolland, avocat à Nice. </w:t>
      </w:r>
      <w:r w:rsidR="00E77CB3" w:rsidRPr="005C50CD">
        <w:rPr>
          <w:lang w:val="fr-FR"/>
        </w:rPr>
        <w:t xml:space="preserve">Le gouvernement </w:t>
      </w:r>
      <w:r w:rsidRPr="005C50CD">
        <w:rPr>
          <w:lang w:val="fr-FR"/>
        </w:rPr>
        <w:t>français</w:t>
      </w:r>
      <w:r w:rsidR="00E77CB3" w:rsidRPr="005C50CD">
        <w:rPr>
          <w:lang w:val="fr-FR"/>
        </w:rPr>
        <w:t xml:space="preserve"> (« le Gouvernement ») a été représenté par son agent, </w:t>
      </w:r>
      <w:r w:rsidR="000D2176" w:rsidRPr="005C50CD">
        <w:rPr>
          <w:lang w:val="fr-FR"/>
        </w:rPr>
        <w:t>M. F. </w:t>
      </w:r>
      <w:r w:rsidR="0078258D" w:rsidRPr="005C50CD">
        <w:rPr>
          <w:lang w:val="fr-FR"/>
        </w:rPr>
        <w:t xml:space="preserve">Alabrune, directeur </w:t>
      </w:r>
      <w:r w:rsidR="0078258D" w:rsidRPr="005C50CD">
        <w:rPr>
          <w:rFonts w:ascii="Times New Roman" w:hAnsi="Times New Roman"/>
          <w:color w:val="000000"/>
          <w:lang w:val="fr-FR"/>
        </w:rPr>
        <w:t>des affaires juridiques au ministère des Affaires étrangères</w:t>
      </w:r>
      <w:r w:rsidR="00E77CB3" w:rsidRPr="005C50CD">
        <w:rPr>
          <w:lang w:val="fr-FR"/>
        </w:rPr>
        <w:t>.</w:t>
      </w:r>
    </w:p>
    <w:p w:rsidR="00E77CB3" w:rsidRPr="005C50CD" w:rsidRDefault="008D400B"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3</w:t>
      </w:r>
      <w:r w:rsidRPr="005C50CD">
        <w:rPr>
          <w:lang w:val="fr-FR"/>
        </w:rPr>
        <w:fldChar w:fldCharType="end"/>
      </w:r>
      <w:r w:rsidRPr="005C50CD">
        <w:rPr>
          <w:lang w:val="fr-FR"/>
        </w:rPr>
        <w:t xml:space="preserve">.  Le requérant allègue </w:t>
      </w:r>
      <w:r w:rsidR="0078258D" w:rsidRPr="005C50CD">
        <w:rPr>
          <w:lang w:val="fr-FR"/>
        </w:rPr>
        <w:t>un risque de traitements contraires à l</w:t>
      </w:r>
      <w:r w:rsidR="005C50CD" w:rsidRPr="005C50CD">
        <w:rPr>
          <w:lang w:val="fr-FR"/>
        </w:rPr>
        <w:t>’</w:t>
      </w:r>
      <w:r w:rsidR="00CC6FA0" w:rsidRPr="005C50CD">
        <w:rPr>
          <w:lang w:val="fr-FR"/>
        </w:rPr>
        <w:t>article </w:t>
      </w:r>
      <w:r w:rsidR="0078258D" w:rsidRPr="005C50CD">
        <w:rPr>
          <w:lang w:val="fr-FR"/>
        </w:rPr>
        <w:t>3 de la Convention en cas de renvoi dans son pays d</w:t>
      </w:r>
      <w:r w:rsidR="005C50CD" w:rsidRPr="005C50CD">
        <w:rPr>
          <w:lang w:val="fr-FR"/>
        </w:rPr>
        <w:t>’</w:t>
      </w:r>
      <w:r w:rsidR="0078258D" w:rsidRPr="005C50CD">
        <w:rPr>
          <w:lang w:val="fr-FR"/>
        </w:rPr>
        <w:t>origine.</w:t>
      </w:r>
    </w:p>
    <w:p w:rsidR="00E77CB3" w:rsidRPr="005C50CD" w:rsidRDefault="008D400B"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4</w:t>
      </w:r>
      <w:r w:rsidRPr="005C50CD">
        <w:rPr>
          <w:lang w:val="fr-FR"/>
        </w:rPr>
        <w:fldChar w:fldCharType="end"/>
      </w:r>
      <w:r w:rsidR="00E77CB3" w:rsidRPr="005C50CD">
        <w:rPr>
          <w:lang w:val="fr-FR"/>
        </w:rPr>
        <w:t>.  </w:t>
      </w:r>
      <w:r w:rsidRPr="005C50CD">
        <w:rPr>
          <w:lang w:val="fr-FR"/>
        </w:rPr>
        <w:t xml:space="preserve">Le </w:t>
      </w:r>
      <w:r w:rsidRPr="005C50CD">
        <w:rPr>
          <w:szCs w:val="24"/>
          <w:lang w:val="fr-FR"/>
        </w:rPr>
        <w:t>23 décembre 2014</w:t>
      </w:r>
      <w:r w:rsidR="00E77CB3" w:rsidRPr="005C50CD">
        <w:rPr>
          <w:lang w:val="fr-FR"/>
        </w:rPr>
        <w:t xml:space="preserve">, </w:t>
      </w:r>
      <w:r w:rsidRPr="005C50CD">
        <w:rPr>
          <w:lang w:val="fr-FR"/>
        </w:rPr>
        <w:t>la requête a été communiquée au Gouvernement</w:t>
      </w:r>
      <w:r w:rsidR="00C1262B" w:rsidRPr="005C50CD">
        <w:rPr>
          <w:lang w:val="fr-FR"/>
        </w:rPr>
        <w:t>.</w:t>
      </w:r>
    </w:p>
    <w:p w:rsidR="009B4F3B" w:rsidRPr="005C50CD" w:rsidRDefault="009B4F3B" w:rsidP="005C50CD">
      <w:pPr>
        <w:pStyle w:val="ECHRPara"/>
        <w:rPr>
          <w:szCs w:val="24"/>
          <w:lang w:val="fr-FR" w:eastAsia="en-GB"/>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5</w:t>
      </w:r>
      <w:r w:rsidRPr="005C50CD">
        <w:rPr>
          <w:lang w:val="fr-FR"/>
        </w:rPr>
        <w:fldChar w:fldCharType="end"/>
      </w:r>
      <w:r w:rsidRPr="005C50CD">
        <w:rPr>
          <w:lang w:val="fr-FR"/>
        </w:rPr>
        <w:t>.  Eu égard aux conclusions de la Cour dans l</w:t>
      </w:r>
      <w:r w:rsidR="005C50CD" w:rsidRPr="005C50CD">
        <w:rPr>
          <w:lang w:val="fr-FR"/>
        </w:rPr>
        <w:t>’</w:t>
      </w:r>
      <w:r w:rsidRPr="005C50CD">
        <w:rPr>
          <w:lang w:val="fr-FR"/>
        </w:rPr>
        <w:t xml:space="preserve">affaire </w:t>
      </w:r>
      <w:r w:rsidR="00937330" w:rsidRPr="005C50CD">
        <w:rPr>
          <w:i/>
          <w:iCs/>
          <w:lang w:val="fr-FR"/>
        </w:rPr>
        <w:t>I</w:t>
      </w:r>
      <w:r w:rsidR="00CC6FA0" w:rsidRPr="005C50CD">
        <w:rPr>
          <w:i/>
          <w:iCs/>
          <w:lang w:val="fr-FR"/>
        </w:rPr>
        <w:t xml:space="preserve"> c. </w:t>
      </w:r>
      <w:r w:rsidRPr="005C50CD">
        <w:rPr>
          <w:i/>
          <w:iCs/>
          <w:lang w:val="fr-FR"/>
        </w:rPr>
        <w:t>Suède</w:t>
      </w:r>
      <w:r w:rsidRPr="005C50CD">
        <w:rPr>
          <w:lang w:val="fr-FR"/>
        </w:rPr>
        <w:t xml:space="preserve"> (n</w:t>
      </w:r>
      <w:r w:rsidR="00AE19D6" w:rsidRPr="005C50CD">
        <w:rPr>
          <w:vertAlign w:val="superscript"/>
          <w:lang w:val="fr-FR"/>
        </w:rPr>
        <w:t>o</w:t>
      </w:r>
      <w:r w:rsidRPr="005C50CD">
        <w:rPr>
          <w:lang w:val="fr-FR"/>
        </w:rPr>
        <w:t> 61204/09, §§ 40-46, 5 septembre 2013), la présente requête n</w:t>
      </w:r>
      <w:r w:rsidR="005C50CD" w:rsidRPr="005C50CD">
        <w:rPr>
          <w:lang w:val="fr-FR"/>
        </w:rPr>
        <w:t>’</w:t>
      </w:r>
      <w:r w:rsidRPr="005C50CD">
        <w:rPr>
          <w:lang w:val="fr-FR"/>
        </w:rPr>
        <w:t>a pas été communiquée à la Fédération de Russie.</w:t>
      </w:r>
    </w:p>
    <w:p w:rsidR="00E77CB3" w:rsidRPr="005C50CD" w:rsidRDefault="00E77CB3" w:rsidP="005C50CD">
      <w:pPr>
        <w:pStyle w:val="ECHRTitle1"/>
        <w:tabs>
          <w:tab w:val="left" w:pos="5387"/>
        </w:tabs>
        <w:rPr>
          <w:lang w:val="fr-FR"/>
        </w:rPr>
      </w:pPr>
      <w:r w:rsidRPr="005C50CD">
        <w:rPr>
          <w:lang w:val="fr-FR"/>
        </w:rPr>
        <w:t>EN FAIT</w:t>
      </w:r>
    </w:p>
    <w:p w:rsidR="00E77CB3" w:rsidRPr="005C50CD" w:rsidRDefault="00E77CB3" w:rsidP="005C50CD">
      <w:pPr>
        <w:pStyle w:val="ECHRHeading1"/>
        <w:numPr>
          <w:ilvl w:val="0"/>
          <w:numId w:val="0"/>
        </w:numPr>
        <w:ind w:left="357" w:hanging="357"/>
        <w:rPr>
          <w:lang w:val="fr-FR"/>
        </w:rPr>
      </w:pPr>
      <w:r w:rsidRPr="005C50CD">
        <w:rPr>
          <w:lang w:val="fr-FR"/>
        </w:rPr>
        <w:t>I.  LES CIRCONSTANCES DE L</w:t>
      </w:r>
      <w:r w:rsidR="005C50CD" w:rsidRPr="005C50CD">
        <w:rPr>
          <w:lang w:val="fr-FR"/>
        </w:rPr>
        <w:t>’</w:t>
      </w:r>
      <w:r w:rsidRPr="005C50CD">
        <w:rPr>
          <w:lang w:val="fr-FR"/>
        </w:rPr>
        <w:t>ESPÈCE</w:t>
      </w:r>
    </w:p>
    <w:p w:rsidR="0078258D" w:rsidRPr="005C50CD" w:rsidRDefault="008D400B"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6</w:t>
      </w:r>
      <w:r w:rsidRPr="005C50CD">
        <w:rPr>
          <w:lang w:val="fr-FR"/>
        </w:rPr>
        <w:fldChar w:fldCharType="end"/>
      </w:r>
      <w:r w:rsidR="00E77CB3" w:rsidRPr="005C50CD">
        <w:rPr>
          <w:lang w:val="fr-FR"/>
        </w:rPr>
        <w:t>.  </w:t>
      </w:r>
      <w:r w:rsidRPr="005C50CD">
        <w:rPr>
          <w:lang w:val="fr-FR"/>
        </w:rPr>
        <w:t>Le requérant est né en 1987 et réside à Marseille</w:t>
      </w:r>
      <w:r w:rsidR="00E77CB3" w:rsidRPr="005C50CD">
        <w:rPr>
          <w:lang w:val="fr-FR"/>
        </w:rPr>
        <w:t>.</w:t>
      </w:r>
    </w:p>
    <w:p w:rsidR="0078258D" w:rsidRPr="005C50CD" w:rsidRDefault="000D2176" w:rsidP="005C50CD">
      <w:pPr>
        <w:pStyle w:val="ECHRHeading2"/>
        <w:numPr>
          <w:ilvl w:val="0"/>
          <w:numId w:val="0"/>
        </w:numPr>
        <w:ind w:left="584" w:hanging="352"/>
        <w:rPr>
          <w:lang w:val="fr-FR"/>
        </w:rPr>
      </w:pPr>
      <w:r w:rsidRPr="005C50CD">
        <w:rPr>
          <w:lang w:val="fr-FR"/>
        </w:rPr>
        <w:lastRenderedPageBreak/>
        <w:t>A.  </w:t>
      </w:r>
      <w:r w:rsidR="0078258D" w:rsidRPr="005C50CD">
        <w:rPr>
          <w:lang w:val="fr-FR"/>
        </w:rPr>
        <w:t>Sur les faits tels qu</w:t>
      </w:r>
      <w:r w:rsidR="005C50CD" w:rsidRPr="005C50CD">
        <w:rPr>
          <w:lang w:val="fr-FR"/>
        </w:rPr>
        <w:t>’</w:t>
      </w:r>
      <w:r w:rsidR="0078258D" w:rsidRPr="005C50CD">
        <w:rPr>
          <w:lang w:val="fr-FR"/>
        </w:rPr>
        <w:t xml:space="preserve">ils se sont déroulés </w:t>
      </w:r>
      <w:r w:rsidR="00EF2405" w:rsidRPr="005C50CD">
        <w:rPr>
          <w:lang w:val="fr-FR"/>
        </w:rPr>
        <w:t>avant son arrivée en France</w:t>
      </w:r>
      <w:r w:rsidR="0078258D" w:rsidRPr="005C50CD">
        <w:rPr>
          <w:lang w:val="fr-FR"/>
        </w:rPr>
        <w:t xml:space="preserve"> selon le requérant</w:t>
      </w:r>
    </w:p>
    <w:p w:rsidR="005C50CD" w:rsidRPr="005C50CD" w:rsidRDefault="0078258D"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7</w:t>
      </w:r>
      <w:r w:rsidRPr="005C50CD">
        <w:rPr>
          <w:lang w:val="fr-FR"/>
        </w:rPr>
        <w:fldChar w:fldCharType="end"/>
      </w:r>
      <w:r w:rsidRPr="005C50CD">
        <w:rPr>
          <w:lang w:val="fr-FR"/>
        </w:rPr>
        <w:t>.  Le requérant est un ressortissant russ</w:t>
      </w:r>
      <w:r w:rsidR="00CC6FA0" w:rsidRPr="005C50CD">
        <w:rPr>
          <w:lang w:val="fr-FR"/>
        </w:rPr>
        <w:t>e originaire de Tchétchénie. En </w:t>
      </w:r>
      <w:r w:rsidRPr="005C50CD">
        <w:rPr>
          <w:lang w:val="fr-FR"/>
        </w:rPr>
        <w:t>2004, l</w:t>
      </w:r>
      <w:r w:rsidR="005C50CD" w:rsidRPr="005C50CD">
        <w:rPr>
          <w:lang w:val="fr-FR"/>
        </w:rPr>
        <w:t>’</w:t>
      </w:r>
      <w:r w:rsidRPr="005C50CD">
        <w:rPr>
          <w:lang w:val="fr-FR"/>
        </w:rPr>
        <w:t>un de ses amis d</w:t>
      </w:r>
      <w:r w:rsidR="005C50CD" w:rsidRPr="005C50CD">
        <w:rPr>
          <w:lang w:val="fr-FR"/>
        </w:rPr>
        <w:t>’</w:t>
      </w:r>
      <w:r w:rsidRPr="005C50CD">
        <w:rPr>
          <w:lang w:val="fr-FR"/>
        </w:rPr>
        <w:t xml:space="preserve">enfance, T.I., rejoignit un groupe armé de rébellion tchétchène, les « Boeviks ». </w:t>
      </w:r>
      <w:r w:rsidR="0086457D" w:rsidRPr="005C50CD">
        <w:rPr>
          <w:lang w:val="fr-FR"/>
        </w:rPr>
        <w:t xml:space="preserve">Devenu en peu de temps </w:t>
      </w:r>
      <w:r w:rsidRPr="005C50CD">
        <w:rPr>
          <w:lang w:val="fr-FR"/>
        </w:rPr>
        <w:t>le chef (« émir ») d</w:t>
      </w:r>
      <w:r w:rsidR="005C50CD" w:rsidRPr="005C50CD">
        <w:rPr>
          <w:lang w:val="fr-FR"/>
        </w:rPr>
        <w:t>’</w:t>
      </w:r>
      <w:r w:rsidRPr="005C50CD">
        <w:rPr>
          <w:lang w:val="fr-FR"/>
        </w:rPr>
        <w:t xml:space="preserve">un groupe de </w:t>
      </w:r>
      <w:r w:rsidR="000D2176" w:rsidRPr="005C50CD">
        <w:rPr>
          <w:lang w:val="fr-FR"/>
        </w:rPr>
        <w:t>cinq à six</w:t>
      </w:r>
      <w:r w:rsidRPr="005C50CD">
        <w:rPr>
          <w:lang w:val="fr-FR"/>
        </w:rPr>
        <w:t xml:space="preserve"> combattants</w:t>
      </w:r>
      <w:r w:rsidR="0086457D" w:rsidRPr="005C50CD">
        <w:rPr>
          <w:lang w:val="fr-FR"/>
        </w:rPr>
        <w:t>, T.I.</w:t>
      </w:r>
      <w:r w:rsidRPr="005C50CD">
        <w:rPr>
          <w:lang w:val="fr-FR"/>
        </w:rPr>
        <w:t xml:space="preserve"> </w:t>
      </w:r>
      <w:r w:rsidR="0086457D" w:rsidRPr="005C50CD">
        <w:rPr>
          <w:lang w:val="fr-FR"/>
        </w:rPr>
        <w:t>fu</w:t>
      </w:r>
      <w:r w:rsidRPr="005C50CD">
        <w:rPr>
          <w:lang w:val="fr-FR"/>
        </w:rPr>
        <w:t>t notamment chargé de tendre des embuscades, d</w:t>
      </w:r>
      <w:r w:rsidR="005C50CD" w:rsidRPr="005C50CD">
        <w:rPr>
          <w:lang w:val="fr-FR"/>
        </w:rPr>
        <w:t>’</w:t>
      </w:r>
      <w:r w:rsidRPr="005C50CD">
        <w:rPr>
          <w:lang w:val="fr-FR"/>
        </w:rPr>
        <w:t>attaquer les colonnes militaires du secteur et de fabriquer des mines antichars.</w:t>
      </w:r>
    </w:p>
    <w:p w:rsidR="0078258D" w:rsidRPr="005C50CD" w:rsidRDefault="0078258D"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8</w:t>
      </w:r>
      <w:r w:rsidRPr="005C50CD">
        <w:rPr>
          <w:lang w:val="fr-FR"/>
        </w:rPr>
        <w:fldChar w:fldCharType="end"/>
      </w:r>
      <w:r w:rsidRPr="005C50CD">
        <w:rPr>
          <w:lang w:val="fr-FR"/>
        </w:rPr>
        <w:t>.  Par crainte des représailles que sa famille pourrait subir, le requérant ne rejoignit jamais les Boeviks. Il héberg</w:t>
      </w:r>
      <w:r w:rsidR="0086457D" w:rsidRPr="005C50CD">
        <w:rPr>
          <w:lang w:val="fr-FR"/>
        </w:rPr>
        <w:t xml:space="preserve">eait néanmoins son ami T.I. à </w:t>
      </w:r>
      <w:r w:rsidRPr="005C50CD">
        <w:rPr>
          <w:lang w:val="fr-FR"/>
        </w:rPr>
        <w:t>chaque fois qu</w:t>
      </w:r>
      <w:r w:rsidR="005C50CD" w:rsidRPr="005C50CD">
        <w:rPr>
          <w:lang w:val="fr-FR"/>
        </w:rPr>
        <w:t>’</w:t>
      </w:r>
      <w:r w:rsidRPr="005C50CD">
        <w:rPr>
          <w:lang w:val="fr-FR"/>
        </w:rPr>
        <w:t>il revenait dans son village et lui fournissait des vivres pour son groupe. Les deux amis communiquaient au moyen d</w:t>
      </w:r>
      <w:r w:rsidR="005C50CD" w:rsidRPr="005C50CD">
        <w:rPr>
          <w:lang w:val="fr-FR"/>
        </w:rPr>
        <w:t>’</w:t>
      </w:r>
      <w:r w:rsidRPr="005C50CD">
        <w:rPr>
          <w:lang w:val="fr-FR"/>
        </w:rPr>
        <w:t xml:space="preserve">un </w:t>
      </w:r>
      <w:r w:rsidR="0086457D" w:rsidRPr="005C50CD">
        <w:rPr>
          <w:lang w:val="fr-FR"/>
        </w:rPr>
        <w:t xml:space="preserve">téléphone </w:t>
      </w:r>
      <w:r w:rsidRPr="005C50CD">
        <w:rPr>
          <w:lang w:val="fr-FR"/>
        </w:rPr>
        <w:t>portable et se servaient, entre eux, de noms de code, le requérant étant surnommé « I. ».</w:t>
      </w:r>
    </w:p>
    <w:p w:rsidR="005C50CD" w:rsidRPr="005C50CD" w:rsidRDefault="0078258D"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9</w:t>
      </w:r>
      <w:r w:rsidRPr="005C50CD">
        <w:rPr>
          <w:lang w:val="fr-FR"/>
        </w:rPr>
        <w:fldChar w:fldCharType="end"/>
      </w:r>
      <w:r w:rsidRPr="005C50CD">
        <w:rPr>
          <w:lang w:val="fr-FR"/>
        </w:rPr>
        <w:t>.  Le 20 août 2005, T.I.</w:t>
      </w:r>
      <w:r w:rsidR="0086457D" w:rsidRPr="005C50CD">
        <w:rPr>
          <w:lang w:val="fr-FR"/>
        </w:rPr>
        <w:t xml:space="preserve"> et son groupe</w:t>
      </w:r>
      <w:r w:rsidRPr="005C50CD">
        <w:rPr>
          <w:lang w:val="fr-FR"/>
        </w:rPr>
        <w:t xml:space="preserve"> fu</w:t>
      </w:r>
      <w:r w:rsidR="0086457D" w:rsidRPr="005C50CD">
        <w:rPr>
          <w:lang w:val="fr-FR"/>
        </w:rPr>
        <w:t>ren</w:t>
      </w:r>
      <w:r w:rsidRPr="005C50CD">
        <w:rPr>
          <w:lang w:val="fr-FR"/>
        </w:rPr>
        <w:t>t dénoncé</w:t>
      </w:r>
      <w:r w:rsidR="0086457D" w:rsidRPr="005C50CD">
        <w:rPr>
          <w:lang w:val="fr-FR"/>
        </w:rPr>
        <w:t>s</w:t>
      </w:r>
      <w:r w:rsidRPr="005C50CD">
        <w:rPr>
          <w:lang w:val="fr-FR"/>
        </w:rPr>
        <w:t xml:space="preserve"> par une personne inconnue et, alors qu</w:t>
      </w:r>
      <w:r w:rsidR="005C50CD" w:rsidRPr="005C50CD">
        <w:rPr>
          <w:lang w:val="fr-FR"/>
        </w:rPr>
        <w:t>’</w:t>
      </w:r>
      <w:r w:rsidRPr="005C50CD">
        <w:rPr>
          <w:lang w:val="fr-FR"/>
        </w:rPr>
        <w:t>ils se rendaient en ville pour remplacer les piles de leurs radios, ils furent accueillis par les forces de l</w:t>
      </w:r>
      <w:r w:rsidR="005C50CD" w:rsidRPr="005C50CD">
        <w:rPr>
          <w:lang w:val="fr-FR"/>
        </w:rPr>
        <w:t>’</w:t>
      </w:r>
      <w:r w:rsidRPr="005C50CD">
        <w:rPr>
          <w:lang w:val="fr-FR"/>
        </w:rPr>
        <w:t>ordre. Après un échange de tirs nourris, plusieurs d</w:t>
      </w:r>
      <w:r w:rsidR="005C50CD" w:rsidRPr="005C50CD">
        <w:rPr>
          <w:lang w:val="fr-FR"/>
        </w:rPr>
        <w:t>’</w:t>
      </w:r>
      <w:r w:rsidRPr="005C50CD">
        <w:rPr>
          <w:lang w:val="fr-FR"/>
        </w:rPr>
        <w:t>entre eux, dont l</w:t>
      </w:r>
      <w:r w:rsidR="005C50CD" w:rsidRPr="005C50CD">
        <w:rPr>
          <w:lang w:val="fr-FR"/>
        </w:rPr>
        <w:t>’</w:t>
      </w:r>
      <w:r w:rsidRPr="005C50CD">
        <w:rPr>
          <w:lang w:val="fr-FR"/>
        </w:rPr>
        <w:t>ami d</w:t>
      </w:r>
      <w:r w:rsidR="005C50CD" w:rsidRPr="005C50CD">
        <w:rPr>
          <w:lang w:val="fr-FR"/>
        </w:rPr>
        <w:t>’</w:t>
      </w:r>
      <w:r w:rsidRPr="005C50CD">
        <w:rPr>
          <w:lang w:val="fr-FR"/>
        </w:rPr>
        <w:t>enfance du requérant, décédèrent. Les militaires récup</w:t>
      </w:r>
      <w:r w:rsidR="0093019F" w:rsidRPr="005C50CD">
        <w:rPr>
          <w:lang w:val="fr-FR"/>
        </w:rPr>
        <w:t>ér</w:t>
      </w:r>
      <w:r w:rsidRPr="005C50CD">
        <w:rPr>
          <w:lang w:val="fr-FR"/>
        </w:rPr>
        <w:t>èrent sur les corps des défunts leurs portables et notamment celui avec lequel T.I. communiquait avec le requérant. À la suite de cette découverte, un avis de recherche fut lancé contre le requérant.</w:t>
      </w:r>
    </w:p>
    <w:p w:rsidR="0078258D" w:rsidRPr="005C50CD" w:rsidRDefault="0078258D"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10</w:t>
      </w:r>
      <w:r w:rsidRPr="005C50CD">
        <w:rPr>
          <w:lang w:val="fr-FR"/>
        </w:rPr>
        <w:fldChar w:fldCharType="end"/>
      </w:r>
      <w:r w:rsidRPr="005C50CD">
        <w:rPr>
          <w:lang w:val="fr-FR"/>
        </w:rPr>
        <w:t xml:space="preserve">.  Interpellé le 5 janvier 2006 </w:t>
      </w:r>
      <w:r w:rsidR="0086457D" w:rsidRPr="005C50CD">
        <w:rPr>
          <w:lang w:val="fr-FR"/>
        </w:rPr>
        <w:t xml:space="preserve">sur </w:t>
      </w:r>
      <w:r w:rsidRPr="005C50CD">
        <w:rPr>
          <w:lang w:val="fr-FR"/>
        </w:rPr>
        <w:t>une route à proximité de son village, le requérant fut frappé puis emmené cagoulé dans les locaux de l</w:t>
      </w:r>
      <w:r w:rsidR="005C50CD" w:rsidRPr="005C50CD">
        <w:rPr>
          <w:lang w:val="fr-FR"/>
        </w:rPr>
        <w:t>’</w:t>
      </w:r>
      <w:r w:rsidRPr="005C50CD">
        <w:rPr>
          <w:lang w:val="fr-FR"/>
        </w:rPr>
        <w:t>OBR2</w:t>
      </w:r>
      <w:r w:rsidR="0086457D" w:rsidRPr="005C50CD">
        <w:rPr>
          <w:lang w:val="fr-FR"/>
        </w:rPr>
        <w:t xml:space="preserve"> (un centre de garde à vue des autorités)</w:t>
      </w:r>
      <w:r w:rsidR="005C50CD" w:rsidRPr="005C50CD">
        <w:rPr>
          <w:lang w:val="fr-FR"/>
        </w:rPr>
        <w:t xml:space="preserve"> à Grozny. Détenu pendant deux </w:t>
      </w:r>
      <w:r w:rsidRPr="005C50CD">
        <w:rPr>
          <w:lang w:val="fr-FR"/>
        </w:rPr>
        <w:t>semaines, il fut interrogé, sous la torture, sur ses rapports avec T.I. et sur la localisation des autres membres du groupe. Il fut finalement relâché, à moitié mort, sur une route aux environ</w:t>
      </w:r>
      <w:r w:rsidR="00946825" w:rsidRPr="005C50CD">
        <w:rPr>
          <w:lang w:val="fr-FR"/>
        </w:rPr>
        <w:t>s</w:t>
      </w:r>
      <w:r w:rsidRPr="005C50CD">
        <w:rPr>
          <w:lang w:val="fr-FR"/>
        </w:rPr>
        <w:t xml:space="preserve"> de Grozny et conduit par des passants à l</w:t>
      </w:r>
      <w:r w:rsidR="005C50CD" w:rsidRPr="005C50CD">
        <w:rPr>
          <w:lang w:val="fr-FR"/>
        </w:rPr>
        <w:t>’</w:t>
      </w:r>
      <w:r w:rsidRPr="005C50CD">
        <w:rPr>
          <w:lang w:val="fr-FR"/>
        </w:rPr>
        <w:t>hôpital.</w:t>
      </w:r>
    </w:p>
    <w:p w:rsidR="005C50CD" w:rsidRPr="005C50CD" w:rsidRDefault="0078258D"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11</w:t>
      </w:r>
      <w:r w:rsidRPr="005C50CD">
        <w:rPr>
          <w:lang w:val="fr-FR"/>
        </w:rPr>
        <w:fldChar w:fldCharType="end"/>
      </w:r>
      <w:r w:rsidRPr="005C50CD">
        <w:rPr>
          <w:lang w:val="fr-FR"/>
        </w:rPr>
        <w:t xml:space="preserve">.  Le 5 mai 2006, le requérant fut à nouveau arrêté et conduit dans un endroit </w:t>
      </w:r>
      <w:r w:rsidR="0086457D" w:rsidRPr="005C50CD">
        <w:rPr>
          <w:lang w:val="fr-FR"/>
        </w:rPr>
        <w:t>in</w:t>
      </w:r>
      <w:r w:rsidRPr="005C50CD">
        <w:rPr>
          <w:lang w:val="fr-FR"/>
        </w:rPr>
        <w:t>connu</w:t>
      </w:r>
      <w:r w:rsidR="0086457D" w:rsidRPr="005C50CD">
        <w:rPr>
          <w:lang w:val="fr-FR"/>
        </w:rPr>
        <w:t xml:space="preserve"> où i</w:t>
      </w:r>
      <w:r w:rsidRPr="005C50CD">
        <w:rPr>
          <w:lang w:val="fr-FR"/>
        </w:rPr>
        <w:t>l fut torturé</w:t>
      </w:r>
      <w:r w:rsidR="00EF2405" w:rsidRPr="005C50CD">
        <w:rPr>
          <w:lang w:val="fr-FR"/>
        </w:rPr>
        <w:t xml:space="preserve">. </w:t>
      </w:r>
      <w:r w:rsidRPr="005C50CD">
        <w:rPr>
          <w:lang w:val="fr-FR"/>
        </w:rPr>
        <w:t xml:space="preserve">Il fut relâché au bout de </w:t>
      </w:r>
      <w:r w:rsidR="000D2176" w:rsidRPr="005C50CD">
        <w:rPr>
          <w:lang w:val="fr-FR"/>
        </w:rPr>
        <w:t>dix</w:t>
      </w:r>
      <w:r w:rsidRPr="005C50CD">
        <w:rPr>
          <w:lang w:val="fr-FR"/>
        </w:rPr>
        <w:t xml:space="preserve"> jours après le paiement d</w:t>
      </w:r>
      <w:r w:rsidR="005C50CD" w:rsidRPr="005C50CD">
        <w:rPr>
          <w:lang w:val="fr-FR"/>
        </w:rPr>
        <w:t>’</w:t>
      </w:r>
      <w:r w:rsidRPr="005C50CD">
        <w:rPr>
          <w:lang w:val="fr-FR"/>
        </w:rPr>
        <w:t>une rançon par sa famille.</w:t>
      </w:r>
    </w:p>
    <w:p w:rsidR="005C50CD" w:rsidRPr="005C50CD" w:rsidRDefault="0078258D"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12</w:t>
      </w:r>
      <w:r w:rsidRPr="005C50CD">
        <w:rPr>
          <w:lang w:val="fr-FR"/>
        </w:rPr>
        <w:fldChar w:fldCharType="end"/>
      </w:r>
      <w:r w:rsidRPr="005C50CD">
        <w:rPr>
          <w:lang w:val="fr-FR"/>
        </w:rPr>
        <w:t xml:space="preserve">.  Après cette détention, le requérant vécut sans </w:t>
      </w:r>
      <w:r w:rsidR="00EF2405" w:rsidRPr="005C50CD">
        <w:rPr>
          <w:lang w:val="fr-FR"/>
        </w:rPr>
        <w:t>encombres</w:t>
      </w:r>
      <w:r w:rsidRPr="005C50CD">
        <w:rPr>
          <w:lang w:val="fr-FR"/>
        </w:rPr>
        <w:t xml:space="preserve"> pendant un an et demi. Il se maria et reprit ses études.</w:t>
      </w:r>
    </w:p>
    <w:p w:rsidR="0078258D" w:rsidRPr="005C50CD" w:rsidRDefault="0078258D"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13</w:t>
      </w:r>
      <w:r w:rsidRPr="005C50CD">
        <w:rPr>
          <w:lang w:val="fr-FR"/>
        </w:rPr>
        <w:fldChar w:fldCharType="end"/>
      </w:r>
      <w:r w:rsidRPr="005C50CD">
        <w:rPr>
          <w:lang w:val="fr-FR"/>
        </w:rPr>
        <w:t xml:space="preserve">.  Le </w:t>
      </w:r>
      <w:r w:rsidR="00EF2405" w:rsidRPr="005C50CD">
        <w:rPr>
          <w:lang w:val="fr-FR"/>
        </w:rPr>
        <w:t>15</w:t>
      </w:r>
      <w:r w:rsidRPr="005C50CD">
        <w:rPr>
          <w:lang w:val="fr-FR"/>
        </w:rPr>
        <w:t xml:space="preserve"> novembre 2007, des hommes de </w:t>
      </w:r>
      <w:r w:rsidR="00937330" w:rsidRPr="005C50CD">
        <w:rPr>
          <w:lang w:val="fr-FR"/>
        </w:rPr>
        <w:t xml:space="preserve">Ramzan </w:t>
      </w:r>
      <w:r w:rsidRPr="005C50CD">
        <w:rPr>
          <w:lang w:val="fr-FR"/>
        </w:rPr>
        <w:t xml:space="preserve">Kadyrov </w:t>
      </w:r>
      <w:r w:rsidR="00937330" w:rsidRPr="005C50CD">
        <w:rPr>
          <w:lang w:val="fr-FR"/>
        </w:rPr>
        <w:t xml:space="preserve">(actuel président de la République de Tchétchénie) </w:t>
      </w:r>
      <w:r w:rsidRPr="005C50CD">
        <w:rPr>
          <w:lang w:val="fr-FR"/>
        </w:rPr>
        <w:t xml:space="preserve">pénétrèrent </w:t>
      </w:r>
      <w:r w:rsidR="00EF2405" w:rsidRPr="005C50CD">
        <w:rPr>
          <w:lang w:val="fr-FR"/>
        </w:rPr>
        <w:t>à son</w:t>
      </w:r>
      <w:r w:rsidRPr="005C50CD">
        <w:rPr>
          <w:lang w:val="fr-FR"/>
        </w:rPr>
        <w:t xml:space="preserve"> domicile. Ils frappèrent violemment la femme du requérant, </w:t>
      </w:r>
      <w:r w:rsidR="00EF2405" w:rsidRPr="005C50CD">
        <w:rPr>
          <w:lang w:val="fr-FR"/>
        </w:rPr>
        <w:t>alors enceinte</w:t>
      </w:r>
      <w:r w:rsidRPr="005C50CD">
        <w:rPr>
          <w:lang w:val="fr-FR"/>
        </w:rPr>
        <w:t xml:space="preserve">, et enlevèrent </w:t>
      </w:r>
      <w:r w:rsidRPr="005C50CD">
        <w:rPr>
          <w:lang w:val="fr-FR"/>
        </w:rPr>
        <w:lastRenderedPageBreak/>
        <w:t xml:space="preserve">le requérant. </w:t>
      </w:r>
      <w:r w:rsidR="00EF2405" w:rsidRPr="005C50CD">
        <w:rPr>
          <w:lang w:val="fr-FR"/>
        </w:rPr>
        <w:t xml:space="preserve">La femme du requérant </w:t>
      </w:r>
      <w:r w:rsidR="000C4799" w:rsidRPr="005C50CD">
        <w:rPr>
          <w:lang w:val="fr-FR"/>
        </w:rPr>
        <w:t>fut</w:t>
      </w:r>
      <w:r w:rsidR="00575134" w:rsidRPr="005C50CD">
        <w:rPr>
          <w:lang w:val="fr-FR"/>
        </w:rPr>
        <w:t xml:space="preserve"> hospitalisée </w:t>
      </w:r>
      <w:r w:rsidR="00BE7537" w:rsidRPr="005C50CD">
        <w:rPr>
          <w:lang w:val="fr-FR"/>
        </w:rPr>
        <w:t>au</w:t>
      </w:r>
      <w:r w:rsidR="00575134" w:rsidRPr="005C50CD">
        <w:rPr>
          <w:lang w:val="fr-FR"/>
        </w:rPr>
        <w:t xml:space="preserve"> </w:t>
      </w:r>
      <w:r w:rsidR="00BE7537" w:rsidRPr="005C50CD">
        <w:rPr>
          <w:lang w:val="fr-FR"/>
        </w:rPr>
        <w:t>Centre républicain Clinique de protection de la santé de la mère et de l</w:t>
      </w:r>
      <w:r w:rsidR="005C50CD" w:rsidRPr="005C50CD">
        <w:rPr>
          <w:lang w:val="fr-FR"/>
        </w:rPr>
        <w:t>’</w:t>
      </w:r>
      <w:r w:rsidR="00BE7537" w:rsidRPr="005C50CD">
        <w:rPr>
          <w:lang w:val="fr-FR"/>
        </w:rPr>
        <w:t>en</w:t>
      </w:r>
      <w:r w:rsidR="00CC6FA0" w:rsidRPr="005C50CD">
        <w:rPr>
          <w:lang w:val="fr-FR"/>
        </w:rPr>
        <w:t>fant</w:t>
      </w:r>
      <w:r w:rsidR="00575134" w:rsidRPr="005C50CD">
        <w:rPr>
          <w:lang w:val="fr-FR"/>
        </w:rPr>
        <w:t xml:space="preserve"> de Grozny, </w:t>
      </w:r>
      <w:r w:rsidR="0086457D" w:rsidRPr="005C50CD">
        <w:rPr>
          <w:lang w:val="fr-FR"/>
        </w:rPr>
        <w:t>où</w:t>
      </w:r>
      <w:r w:rsidR="000C4799" w:rsidRPr="005C50CD">
        <w:rPr>
          <w:lang w:val="fr-FR"/>
        </w:rPr>
        <w:t>, comme en attestent deux certificats médicaux versés aux débats,</w:t>
      </w:r>
      <w:r w:rsidR="0086457D" w:rsidRPr="005C50CD">
        <w:rPr>
          <w:lang w:val="fr-FR"/>
        </w:rPr>
        <w:t xml:space="preserve"> </w:t>
      </w:r>
      <w:r w:rsidR="00575134" w:rsidRPr="005C50CD">
        <w:rPr>
          <w:lang w:val="fr-FR"/>
        </w:rPr>
        <w:t>elle accoucha prématurément le 22 novembre suivant d</w:t>
      </w:r>
      <w:r w:rsidR="005C50CD" w:rsidRPr="005C50CD">
        <w:rPr>
          <w:lang w:val="fr-FR"/>
        </w:rPr>
        <w:t>’</w:t>
      </w:r>
      <w:r w:rsidR="00575134" w:rsidRPr="005C50CD">
        <w:rPr>
          <w:lang w:val="fr-FR"/>
        </w:rPr>
        <w:t xml:space="preserve">un enfant qui décéda quelques jours </w:t>
      </w:r>
      <w:r w:rsidR="00707C2B" w:rsidRPr="005C50CD">
        <w:rPr>
          <w:lang w:val="fr-FR"/>
        </w:rPr>
        <w:t>aprè</w:t>
      </w:r>
      <w:r w:rsidR="00575134" w:rsidRPr="005C50CD">
        <w:rPr>
          <w:lang w:val="fr-FR"/>
        </w:rPr>
        <w:t xml:space="preserve">s. Le requérant fut, quant à lui, séquestré et torturé. </w:t>
      </w:r>
      <w:r w:rsidR="002C510F" w:rsidRPr="005C50CD">
        <w:rPr>
          <w:lang w:val="fr-FR"/>
        </w:rPr>
        <w:t xml:space="preserve">Pour mettre fin à </w:t>
      </w:r>
      <w:r w:rsidR="00632AA1" w:rsidRPr="005C50CD">
        <w:rPr>
          <w:lang w:val="fr-FR"/>
        </w:rPr>
        <w:t>ses souffrances</w:t>
      </w:r>
      <w:r w:rsidR="002C510F" w:rsidRPr="005C50CD">
        <w:rPr>
          <w:lang w:val="fr-FR"/>
        </w:rPr>
        <w:t xml:space="preserve"> et craignant des représailles sur sa famille, il </w:t>
      </w:r>
      <w:r w:rsidRPr="005C50CD">
        <w:rPr>
          <w:lang w:val="fr-FR"/>
        </w:rPr>
        <w:t>reconnut ses liens passés avec T.I.</w:t>
      </w:r>
      <w:r w:rsidR="002C510F" w:rsidRPr="005C50CD">
        <w:rPr>
          <w:lang w:val="fr-FR"/>
        </w:rPr>
        <w:t xml:space="preserve"> </w:t>
      </w:r>
      <w:r w:rsidRPr="005C50CD">
        <w:rPr>
          <w:lang w:val="fr-FR"/>
        </w:rPr>
        <w:t xml:space="preserve">et accepta de devenir un </w:t>
      </w:r>
      <w:r w:rsidR="002C510F" w:rsidRPr="005C50CD">
        <w:rPr>
          <w:lang w:val="fr-FR"/>
        </w:rPr>
        <w:t>indicateur pour les forces de l</w:t>
      </w:r>
      <w:r w:rsidR="005C50CD" w:rsidRPr="005C50CD">
        <w:rPr>
          <w:lang w:val="fr-FR"/>
        </w:rPr>
        <w:t>’</w:t>
      </w:r>
      <w:r w:rsidR="002C510F" w:rsidRPr="005C50CD">
        <w:rPr>
          <w:lang w:val="fr-FR"/>
        </w:rPr>
        <w:t xml:space="preserve">ordre. </w:t>
      </w:r>
      <w:r w:rsidRPr="005C50CD">
        <w:rPr>
          <w:lang w:val="fr-FR"/>
        </w:rPr>
        <w:t xml:space="preserve">Il fut finalement relâché, le </w:t>
      </w:r>
      <w:r w:rsidR="00707C2B" w:rsidRPr="005C50CD">
        <w:rPr>
          <w:lang w:val="fr-FR"/>
        </w:rPr>
        <w:t>9 </w:t>
      </w:r>
      <w:r w:rsidRPr="005C50CD">
        <w:rPr>
          <w:lang w:val="fr-FR"/>
        </w:rPr>
        <w:t>décembre 2007, après le paiement d</w:t>
      </w:r>
      <w:r w:rsidR="005C50CD" w:rsidRPr="005C50CD">
        <w:rPr>
          <w:lang w:val="fr-FR"/>
        </w:rPr>
        <w:t>’</w:t>
      </w:r>
      <w:r w:rsidRPr="005C50CD">
        <w:rPr>
          <w:lang w:val="fr-FR"/>
        </w:rPr>
        <w:t>une nouvelle rançon par sa famille. À son arrivée à son domicile, il trouva une convocation émanant de la direction de lutte contre le crime organisé (ROUBOP). Il comprit qu</w:t>
      </w:r>
      <w:r w:rsidR="005C50CD" w:rsidRPr="005C50CD">
        <w:rPr>
          <w:lang w:val="fr-FR"/>
        </w:rPr>
        <w:t>’</w:t>
      </w:r>
      <w:r w:rsidRPr="005C50CD">
        <w:rPr>
          <w:lang w:val="fr-FR"/>
        </w:rPr>
        <w:t>en acceptant de devenir un « indic », sa sécurité était irrémédiablement compromise</w:t>
      </w:r>
      <w:r w:rsidR="0086457D" w:rsidRPr="005C50CD">
        <w:rPr>
          <w:lang w:val="fr-FR"/>
        </w:rPr>
        <w:t>. Pris</w:t>
      </w:r>
      <w:r w:rsidRPr="005C50CD">
        <w:rPr>
          <w:lang w:val="fr-FR"/>
        </w:rPr>
        <w:t xml:space="preserve"> entre les </w:t>
      </w:r>
      <w:r w:rsidR="00937330" w:rsidRPr="005C50CD">
        <w:rPr>
          <w:lang w:val="fr-FR"/>
        </w:rPr>
        <w:t>« K</w:t>
      </w:r>
      <w:r w:rsidRPr="005C50CD">
        <w:rPr>
          <w:lang w:val="fr-FR"/>
        </w:rPr>
        <w:t>adyro</w:t>
      </w:r>
      <w:r w:rsidR="00937330" w:rsidRPr="005C50CD">
        <w:rPr>
          <w:lang w:val="fr-FR"/>
        </w:rPr>
        <w:t>vski »</w:t>
      </w:r>
      <w:r w:rsidRPr="005C50CD">
        <w:rPr>
          <w:lang w:val="fr-FR"/>
        </w:rPr>
        <w:t xml:space="preserve"> d</w:t>
      </w:r>
      <w:r w:rsidR="005C50CD" w:rsidRPr="005C50CD">
        <w:rPr>
          <w:lang w:val="fr-FR"/>
        </w:rPr>
        <w:t>’</w:t>
      </w:r>
      <w:r w:rsidRPr="005C50CD">
        <w:rPr>
          <w:lang w:val="fr-FR"/>
        </w:rPr>
        <w:t>un côté qui ne le lâcheraient pas s</w:t>
      </w:r>
      <w:r w:rsidR="005C50CD" w:rsidRPr="005C50CD">
        <w:rPr>
          <w:lang w:val="fr-FR"/>
        </w:rPr>
        <w:t>’</w:t>
      </w:r>
      <w:r w:rsidR="0093019F" w:rsidRPr="005C50CD">
        <w:rPr>
          <w:lang w:val="fr-FR"/>
        </w:rPr>
        <w:t>il ne coopérait pas et les B</w:t>
      </w:r>
      <w:r w:rsidRPr="005C50CD">
        <w:rPr>
          <w:lang w:val="fr-FR"/>
        </w:rPr>
        <w:t>oeviks qui n</w:t>
      </w:r>
      <w:r w:rsidR="005C50CD" w:rsidRPr="005C50CD">
        <w:rPr>
          <w:lang w:val="fr-FR"/>
        </w:rPr>
        <w:t>’</w:t>
      </w:r>
      <w:r w:rsidRPr="005C50CD">
        <w:rPr>
          <w:lang w:val="fr-FR"/>
        </w:rPr>
        <w:t>hésiteraient pas à l</w:t>
      </w:r>
      <w:r w:rsidR="005C50CD" w:rsidRPr="005C50CD">
        <w:rPr>
          <w:lang w:val="fr-FR"/>
        </w:rPr>
        <w:t>’</w:t>
      </w:r>
      <w:r w:rsidRPr="005C50CD">
        <w:rPr>
          <w:lang w:val="fr-FR"/>
        </w:rPr>
        <w:t>éliminer s</w:t>
      </w:r>
      <w:r w:rsidR="005C50CD" w:rsidRPr="005C50CD">
        <w:rPr>
          <w:lang w:val="fr-FR"/>
        </w:rPr>
        <w:t>’</w:t>
      </w:r>
      <w:r w:rsidRPr="005C50CD">
        <w:rPr>
          <w:lang w:val="fr-FR"/>
        </w:rPr>
        <w:t xml:space="preserve">il le </w:t>
      </w:r>
      <w:r w:rsidR="0086457D" w:rsidRPr="005C50CD">
        <w:rPr>
          <w:lang w:val="fr-FR"/>
        </w:rPr>
        <w:t>faisait, il</w:t>
      </w:r>
      <w:r w:rsidRPr="005C50CD">
        <w:rPr>
          <w:lang w:val="fr-FR"/>
        </w:rPr>
        <w:t xml:space="preserve"> décida de</w:t>
      </w:r>
      <w:r w:rsidR="00EF2405" w:rsidRPr="005C50CD">
        <w:rPr>
          <w:lang w:val="fr-FR"/>
        </w:rPr>
        <w:t xml:space="preserve"> fuir le pays pour la Pologne </w:t>
      </w:r>
      <w:r w:rsidR="0086457D" w:rsidRPr="005C50CD">
        <w:rPr>
          <w:lang w:val="fr-FR"/>
        </w:rPr>
        <w:t xml:space="preserve">en se résignant à partir </w:t>
      </w:r>
      <w:r w:rsidR="00EF2405" w:rsidRPr="005C50CD">
        <w:rPr>
          <w:lang w:val="fr-FR"/>
        </w:rPr>
        <w:t>sans sa femme</w:t>
      </w:r>
      <w:r w:rsidR="00024F70" w:rsidRPr="005C50CD">
        <w:rPr>
          <w:lang w:val="fr-FR"/>
        </w:rPr>
        <w:t>,</w:t>
      </w:r>
      <w:r w:rsidR="00EF2405" w:rsidRPr="005C50CD">
        <w:rPr>
          <w:lang w:val="fr-FR"/>
        </w:rPr>
        <w:t xml:space="preserve"> </w:t>
      </w:r>
      <w:r w:rsidR="00024F70" w:rsidRPr="005C50CD">
        <w:rPr>
          <w:lang w:val="fr-FR"/>
        </w:rPr>
        <w:t xml:space="preserve">toujours </w:t>
      </w:r>
      <w:r w:rsidR="00EF2405" w:rsidRPr="005C50CD">
        <w:rPr>
          <w:lang w:val="fr-FR"/>
        </w:rPr>
        <w:t>hospi</w:t>
      </w:r>
      <w:r w:rsidR="0086457D" w:rsidRPr="005C50CD">
        <w:rPr>
          <w:lang w:val="fr-FR"/>
        </w:rPr>
        <w:t>talisée à cette époque</w:t>
      </w:r>
      <w:r w:rsidR="006A2CF9" w:rsidRPr="005C50CD">
        <w:rPr>
          <w:lang w:val="fr-FR"/>
        </w:rPr>
        <w:t xml:space="preserve"> et ne pouvant se déplacer</w:t>
      </w:r>
      <w:r w:rsidR="0086457D" w:rsidRPr="005C50CD">
        <w:rPr>
          <w:lang w:val="fr-FR"/>
        </w:rPr>
        <w:t>.</w:t>
      </w:r>
    </w:p>
    <w:p w:rsidR="005C50CD" w:rsidRPr="005C50CD" w:rsidRDefault="00024F70"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14</w:t>
      </w:r>
      <w:r w:rsidRPr="005C50CD">
        <w:rPr>
          <w:lang w:val="fr-FR"/>
        </w:rPr>
        <w:fldChar w:fldCharType="end"/>
      </w:r>
      <w:r w:rsidRPr="005C50CD">
        <w:rPr>
          <w:lang w:val="fr-FR"/>
        </w:rPr>
        <w:t>.  </w:t>
      </w:r>
      <w:r w:rsidR="0078258D" w:rsidRPr="005C50CD">
        <w:rPr>
          <w:lang w:val="fr-FR"/>
        </w:rPr>
        <w:t xml:space="preserve">À la frontière polonaise, </w:t>
      </w:r>
      <w:r w:rsidR="00E1113F" w:rsidRPr="005C50CD">
        <w:rPr>
          <w:lang w:val="fr-FR"/>
        </w:rPr>
        <w:t>d</w:t>
      </w:r>
      <w:r w:rsidR="0078258D" w:rsidRPr="005C50CD">
        <w:rPr>
          <w:lang w:val="fr-FR"/>
        </w:rPr>
        <w:t>es policiers saisirent le passeport du requérant et le conduisirent au camp de réfugiés de Dimbak pour déposer sa demande d</w:t>
      </w:r>
      <w:r w:rsidR="005C50CD" w:rsidRPr="005C50CD">
        <w:rPr>
          <w:lang w:val="fr-FR"/>
        </w:rPr>
        <w:t>’</w:t>
      </w:r>
      <w:r w:rsidR="0078258D" w:rsidRPr="005C50CD">
        <w:rPr>
          <w:lang w:val="fr-FR"/>
        </w:rPr>
        <w:t>asile. Ayant appris que des</w:t>
      </w:r>
      <w:r w:rsidR="00937330" w:rsidRPr="005C50CD">
        <w:rPr>
          <w:lang w:val="fr-FR"/>
        </w:rPr>
        <w:t> « </w:t>
      </w:r>
      <w:r w:rsidR="0078258D" w:rsidRPr="005C50CD">
        <w:rPr>
          <w:lang w:val="fr-FR"/>
        </w:rPr>
        <w:t>Kadyro</w:t>
      </w:r>
      <w:r w:rsidR="00937330" w:rsidRPr="005C50CD">
        <w:rPr>
          <w:lang w:val="fr-FR"/>
        </w:rPr>
        <w:t>vski »</w:t>
      </w:r>
      <w:r w:rsidR="0078258D" w:rsidRPr="005C50CD">
        <w:rPr>
          <w:lang w:val="fr-FR"/>
        </w:rPr>
        <w:t xml:space="preserve"> s</w:t>
      </w:r>
      <w:r w:rsidR="005C50CD" w:rsidRPr="005C50CD">
        <w:rPr>
          <w:lang w:val="fr-FR"/>
        </w:rPr>
        <w:t>’</w:t>
      </w:r>
      <w:r w:rsidR="0078258D" w:rsidRPr="005C50CD">
        <w:rPr>
          <w:lang w:val="fr-FR"/>
        </w:rPr>
        <w:t>étaient infiltrés dans le camp pour identifier les tchétchènes recherchés par les autorités, le requérant préféra fuir le camp et partir pour la France.</w:t>
      </w:r>
    </w:p>
    <w:p w:rsidR="00024F70" w:rsidRPr="005C50CD" w:rsidRDefault="00707C2B" w:rsidP="005C50CD">
      <w:pPr>
        <w:pStyle w:val="ECHRHeading2"/>
        <w:numPr>
          <w:ilvl w:val="0"/>
          <w:numId w:val="0"/>
        </w:numPr>
        <w:ind w:left="584" w:hanging="352"/>
        <w:rPr>
          <w:lang w:val="fr-FR"/>
        </w:rPr>
      </w:pPr>
      <w:r w:rsidRPr="005C50CD">
        <w:rPr>
          <w:lang w:val="fr-FR"/>
        </w:rPr>
        <w:t>B.  </w:t>
      </w:r>
      <w:r w:rsidR="00024F70" w:rsidRPr="005C50CD">
        <w:rPr>
          <w:lang w:val="fr-FR"/>
        </w:rPr>
        <w:t>Sur les faits tels qu</w:t>
      </w:r>
      <w:r w:rsidR="005C50CD" w:rsidRPr="005C50CD">
        <w:rPr>
          <w:lang w:val="fr-FR"/>
        </w:rPr>
        <w:t>’</w:t>
      </w:r>
      <w:r w:rsidR="00024F70" w:rsidRPr="005C50CD">
        <w:rPr>
          <w:lang w:val="fr-FR"/>
        </w:rPr>
        <w:t>ils se sont déroulés après l</w:t>
      </w:r>
      <w:r w:rsidR="005C50CD" w:rsidRPr="005C50CD">
        <w:rPr>
          <w:lang w:val="fr-FR"/>
        </w:rPr>
        <w:t>’</w:t>
      </w:r>
      <w:r w:rsidR="00024F70" w:rsidRPr="005C50CD">
        <w:rPr>
          <w:lang w:val="fr-FR"/>
        </w:rPr>
        <w:t>arrivée en France du requérant</w:t>
      </w:r>
    </w:p>
    <w:p w:rsidR="0099104B" w:rsidRPr="005C50CD" w:rsidRDefault="00024F70"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15</w:t>
      </w:r>
      <w:r w:rsidRPr="005C50CD">
        <w:rPr>
          <w:lang w:val="fr-FR"/>
        </w:rPr>
        <w:fldChar w:fldCharType="end"/>
      </w:r>
      <w:r w:rsidRPr="005C50CD">
        <w:rPr>
          <w:lang w:val="fr-FR"/>
        </w:rPr>
        <w:t>.  Peu après son arrivée sur le territoire français le 20 janvier 2008, le requérant déposa une demande d</w:t>
      </w:r>
      <w:r w:rsidR="005C50CD" w:rsidRPr="005C50CD">
        <w:rPr>
          <w:lang w:val="fr-FR"/>
        </w:rPr>
        <w:t>’</w:t>
      </w:r>
      <w:r w:rsidRPr="005C50CD">
        <w:rPr>
          <w:lang w:val="fr-FR"/>
        </w:rPr>
        <w:t xml:space="preserve">asile. Il produisit </w:t>
      </w:r>
      <w:r w:rsidR="00E1113F" w:rsidRPr="005C50CD">
        <w:rPr>
          <w:lang w:val="fr-FR"/>
        </w:rPr>
        <w:t>plusieurs documents</w:t>
      </w:r>
      <w:r w:rsidRPr="005C50CD">
        <w:rPr>
          <w:lang w:val="fr-FR"/>
        </w:rPr>
        <w:t xml:space="preserve"> à l</w:t>
      </w:r>
      <w:r w:rsidR="005C50CD" w:rsidRPr="005C50CD">
        <w:rPr>
          <w:lang w:val="fr-FR"/>
        </w:rPr>
        <w:t>’</w:t>
      </w:r>
      <w:r w:rsidRPr="005C50CD">
        <w:rPr>
          <w:lang w:val="fr-FR"/>
        </w:rPr>
        <w:t>appui de sa demande</w:t>
      </w:r>
      <w:r w:rsidR="00E1113F" w:rsidRPr="005C50CD">
        <w:rPr>
          <w:lang w:val="fr-FR"/>
        </w:rPr>
        <w:t>, dont</w:t>
      </w:r>
      <w:r w:rsidRPr="005C50CD">
        <w:rPr>
          <w:lang w:val="fr-FR"/>
        </w:rPr>
        <w:t xml:space="preserve"> deux convocations le priant de se rendre dans les bureaux de la </w:t>
      </w:r>
      <w:r w:rsidR="00E1113F" w:rsidRPr="005C50CD">
        <w:rPr>
          <w:lang w:val="fr-FR"/>
        </w:rPr>
        <w:t>ROUBOP</w:t>
      </w:r>
      <w:r w:rsidRPr="005C50CD">
        <w:rPr>
          <w:lang w:val="fr-FR"/>
        </w:rPr>
        <w:t xml:space="preserve"> respectivement les 10 février et 10 mars 2008</w:t>
      </w:r>
      <w:r w:rsidR="0099104B" w:rsidRPr="005C50CD">
        <w:rPr>
          <w:lang w:val="fr-FR"/>
        </w:rPr>
        <w:t>. Le 23 avril 2009, l</w:t>
      </w:r>
      <w:r w:rsidR="005C50CD" w:rsidRPr="005C50CD">
        <w:rPr>
          <w:lang w:val="fr-FR"/>
        </w:rPr>
        <w:t>’</w:t>
      </w:r>
      <w:r w:rsidR="0099104B" w:rsidRPr="005C50CD">
        <w:rPr>
          <w:lang w:val="fr-FR"/>
        </w:rPr>
        <w:t>Office français de protection des réfugiés et apatrides (OFPRA) rejeta la demande d</w:t>
      </w:r>
      <w:r w:rsidR="005C50CD" w:rsidRPr="005C50CD">
        <w:rPr>
          <w:lang w:val="fr-FR"/>
        </w:rPr>
        <w:t>’</w:t>
      </w:r>
      <w:r w:rsidR="0099104B" w:rsidRPr="005C50CD">
        <w:rPr>
          <w:lang w:val="fr-FR"/>
        </w:rPr>
        <w:t xml:space="preserve">asile du requérant aux motifs que ses déclarations </w:t>
      </w:r>
      <w:r w:rsidR="00697080" w:rsidRPr="005C50CD">
        <w:rPr>
          <w:lang w:val="fr-FR"/>
        </w:rPr>
        <w:t>étaient</w:t>
      </w:r>
      <w:r w:rsidR="0099104B" w:rsidRPr="005C50CD">
        <w:rPr>
          <w:lang w:val="fr-FR"/>
        </w:rPr>
        <w:t xml:space="preserve"> trop imprécises, voire contradictoires</w:t>
      </w:r>
      <w:r w:rsidR="0093019F" w:rsidRPr="005C50CD">
        <w:rPr>
          <w:lang w:val="fr-FR"/>
        </w:rPr>
        <w:t>,</w:t>
      </w:r>
      <w:r w:rsidR="0099104B" w:rsidRPr="005C50CD">
        <w:rPr>
          <w:lang w:val="fr-FR"/>
        </w:rPr>
        <w:t xml:space="preserve"> et que</w:t>
      </w:r>
      <w:r w:rsidR="00CC6FA0" w:rsidRPr="005C50CD">
        <w:rPr>
          <w:lang w:val="fr-FR"/>
        </w:rPr>
        <w:t xml:space="preserve"> les deux </w:t>
      </w:r>
      <w:r w:rsidR="0099104B" w:rsidRPr="005C50CD">
        <w:rPr>
          <w:lang w:val="fr-FR"/>
        </w:rPr>
        <w:t>convocations ne présentaient pas de garanties suffisantes d</w:t>
      </w:r>
      <w:r w:rsidR="005C50CD" w:rsidRPr="005C50CD">
        <w:rPr>
          <w:lang w:val="fr-FR"/>
        </w:rPr>
        <w:t>’</w:t>
      </w:r>
      <w:r w:rsidR="0099104B" w:rsidRPr="005C50CD">
        <w:rPr>
          <w:lang w:val="fr-FR"/>
        </w:rPr>
        <w:t>authenticité.</w:t>
      </w:r>
    </w:p>
    <w:p w:rsidR="00024F70" w:rsidRPr="005C50CD" w:rsidRDefault="0099104B"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16</w:t>
      </w:r>
      <w:r w:rsidRPr="005C50CD">
        <w:rPr>
          <w:lang w:val="fr-FR"/>
        </w:rPr>
        <w:fldChar w:fldCharType="end"/>
      </w:r>
      <w:r w:rsidRPr="005C50CD">
        <w:rPr>
          <w:lang w:val="fr-FR"/>
        </w:rPr>
        <w:t xml:space="preserve">.  Le requérant interjeta appel de cette décision. Il </w:t>
      </w:r>
      <w:r w:rsidR="00E1113F" w:rsidRPr="005C50CD">
        <w:rPr>
          <w:lang w:val="fr-FR"/>
        </w:rPr>
        <w:t>fournit à cette occasion</w:t>
      </w:r>
      <w:r w:rsidRPr="005C50CD">
        <w:rPr>
          <w:lang w:val="fr-FR"/>
        </w:rPr>
        <w:t>, outre les convocations précédemment mentionnées,</w:t>
      </w:r>
      <w:r w:rsidR="00024F70" w:rsidRPr="005C50CD">
        <w:rPr>
          <w:lang w:val="fr-FR"/>
        </w:rPr>
        <w:t xml:space="preserve"> plusieurs témoignages de proches et attestations d</w:t>
      </w:r>
      <w:r w:rsidR="005C50CD" w:rsidRPr="005C50CD">
        <w:rPr>
          <w:lang w:val="fr-FR"/>
        </w:rPr>
        <w:t>’</w:t>
      </w:r>
      <w:r w:rsidR="00024F70" w:rsidRPr="005C50CD">
        <w:rPr>
          <w:lang w:val="fr-FR"/>
        </w:rPr>
        <w:t>organisations non gouvernementales confirmant son récit</w:t>
      </w:r>
      <w:r w:rsidRPr="005C50CD">
        <w:rPr>
          <w:lang w:val="fr-FR"/>
        </w:rPr>
        <w:t xml:space="preserve"> et un certificat médical</w:t>
      </w:r>
      <w:r w:rsidR="00024F70" w:rsidRPr="005C50CD">
        <w:rPr>
          <w:lang w:val="fr-FR"/>
        </w:rPr>
        <w:t>.</w:t>
      </w:r>
      <w:r w:rsidRPr="005C50CD">
        <w:rPr>
          <w:lang w:val="fr-FR"/>
        </w:rPr>
        <w:t xml:space="preserve"> Ce dernier document, daté du 29 novembre 2010, émane d</w:t>
      </w:r>
      <w:r w:rsidR="005C50CD" w:rsidRPr="005C50CD">
        <w:rPr>
          <w:lang w:val="fr-FR"/>
        </w:rPr>
        <w:t>’</w:t>
      </w:r>
      <w:r w:rsidRPr="005C50CD">
        <w:rPr>
          <w:lang w:val="fr-FR"/>
        </w:rPr>
        <w:t>un médecin légiste du centre hospitalier universitaire de Nice et indique :</w:t>
      </w:r>
    </w:p>
    <w:p w:rsidR="0099104B" w:rsidRPr="005C50CD" w:rsidRDefault="0099104B" w:rsidP="005C50CD">
      <w:pPr>
        <w:pStyle w:val="ECHRParaQuote"/>
        <w:rPr>
          <w:lang w:val="fr-FR"/>
        </w:rPr>
      </w:pPr>
      <w:r w:rsidRPr="005C50CD">
        <w:rPr>
          <w:lang w:val="fr-FR"/>
        </w:rPr>
        <w:t>« À ce jour, sur le plan clinique, j</w:t>
      </w:r>
      <w:r w:rsidR="005C50CD" w:rsidRPr="005C50CD">
        <w:rPr>
          <w:lang w:val="fr-FR"/>
        </w:rPr>
        <w:t>’</w:t>
      </w:r>
      <w:r w:rsidRPr="005C50CD">
        <w:rPr>
          <w:lang w:val="fr-FR"/>
        </w:rPr>
        <w:t>ai constaté un état de tension nerveuse, des cicatrices contuses au niveau du crâne que le patient rapporte à des coups de crosse, ainsi qu</w:t>
      </w:r>
      <w:r w:rsidR="005C50CD" w:rsidRPr="005C50CD">
        <w:rPr>
          <w:lang w:val="fr-FR"/>
        </w:rPr>
        <w:t>’</w:t>
      </w:r>
      <w:r w:rsidRPr="005C50CD">
        <w:rPr>
          <w:lang w:val="fr-FR"/>
        </w:rPr>
        <w:t>une cicatrice rectangulaire au niveau du membre inférieur gauche, rapportée à des coups de crosse. J</w:t>
      </w:r>
      <w:r w:rsidR="005C50CD" w:rsidRPr="005C50CD">
        <w:rPr>
          <w:lang w:val="fr-FR"/>
        </w:rPr>
        <w:t>’</w:t>
      </w:r>
      <w:r w:rsidRPr="005C50CD">
        <w:rPr>
          <w:lang w:val="fr-FR"/>
        </w:rPr>
        <w:t xml:space="preserve">ai constaté par ailleurs des cicatrices plus fines, rapportées par </w:t>
      </w:r>
      <w:r w:rsidRPr="005C50CD">
        <w:rPr>
          <w:lang w:val="fr-FR"/>
        </w:rPr>
        <w:lastRenderedPageBreak/>
        <w:t>le patient, à des plaies par arme blanche. Mes constatations cliniques sont compatibles avec les mécanismes qui m</w:t>
      </w:r>
      <w:r w:rsidR="005C50CD" w:rsidRPr="005C50CD">
        <w:rPr>
          <w:lang w:val="fr-FR"/>
        </w:rPr>
        <w:t>’</w:t>
      </w:r>
      <w:r w:rsidRPr="005C50CD">
        <w:rPr>
          <w:lang w:val="fr-FR"/>
        </w:rPr>
        <w:t>ont été rapportés. »</w:t>
      </w:r>
    </w:p>
    <w:p w:rsidR="005C50CD" w:rsidRPr="005C50CD" w:rsidRDefault="00024F70"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17</w:t>
      </w:r>
      <w:r w:rsidRPr="005C50CD">
        <w:rPr>
          <w:lang w:val="fr-FR"/>
        </w:rPr>
        <w:fldChar w:fldCharType="end"/>
      </w:r>
      <w:r w:rsidRPr="005C50CD">
        <w:rPr>
          <w:lang w:val="fr-FR"/>
        </w:rPr>
        <w:t>.  </w:t>
      </w:r>
      <w:r w:rsidR="0099104B" w:rsidRPr="005C50CD">
        <w:rPr>
          <w:lang w:val="fr-FR"/>
        </w:rPr>
        <w:t>Le 17 octobre 2011</w:t>
      </w:r>
      <w:r w:rsidRPr="005C50CD">
        <w:rPr>
          <w:lang w:val="fr-FR"/>
        </w:rPr>
        <w:t>, la Cour nationale du droit d</w:t>
      </w:r>
      <w:r w:rsidR="005C50CD" w:rsidRPr="005C50CD">
        <w:rPr>
          <w:lang w:val="fr-FR"/>
        </w:rPr>
        <w:t>’</w:t>
      </w:r>
      <w:r w:rsidRPr="005C50CD">
        <w:rPr>
          <w:lang w:val="fr-FR"/>
        </w:rPr>
        <w:t>asile (CNDA</w:t>
      </w:r>
      <w:r w:rsidR="0099104B" w:rsidRPr="005C50CD">
        <w:rPr>
          <w:lang w:val="fr-FR"/>
        </w:rPr>
        <w:t>)</w:t>
      </w:r>
      <w:r w:rsidRPr="005C50CD">
        <w:rPr>
          <w:lang w:val="fr-FR"/>
        </w:rPr>
        <w:t xml:space="preserve"> confirma </w:t>
      </w:r>
      <w:r w:rsidR="0099104B" w:rsidRPr="005C50CD">
        <w:rPr>
          <w:lang w:val="fr-FR"/>
        </w:rPr>
        <w:t>la</w:t>
      </w:r>
      <w:r w:rsidRPr="005C50CD">
        <w:rPr>
          <w:lang w:val="fr-FR"/>
        </w:rPr>
        <w:t xml:space="preserve"> décision </w:t>
      </w:r>
      <w:r w:rsidR="0099104B" w:rsidRPr="005C50CD">
        <w:rPr>
          <w:lang w:val="fr-FR"/>
        </w:rPr>
        <w:t>de l</w:t>
      </w:r>
      <w:r w:rsidR="005C50CD" w:rsidRPr="005C50CD">
        <w:rPr>
          <w:lang w:val="fr-FR"/>
        </w:rPr>
        <w:t>’</w:t>
      </w:r>
      <w:r w:rsidR="0099104B" w:rsidRPr="005C50CD">
        <w:rPr>
          <w:lang w:val="fr-FR"/>
        </w:rPr>
        <w:t>OFPRA en énonçant</w:t>
      </w:r>
      <w:r w:rsidRPr="005C50CD">
        <w:rPr>
          <w:lang w:val="fr-FR"/>
        </w:rPr>
        <w:t> :</w:t>
      </w:r>
    </w:p>
    <w:p w:rsidR="00024F70" w:rsidRPr="005C50CD" w:rsidRDefault="00024F70" w:rsidP="005C50CD">
      <w:pPr>
        <w:pStyle w:val="ECHRParaQuote"/>
        <w:rPr>
          <w:lang w:val="fr-FR"/>
        </w:rPr>
      </w:pPr>
      <w:r w:rsidRPr="005C50CD">
        <w:rPr>
          <w:lang w:val="fr-FR"/>
        </w:rPr>
        <w:t>« Considérant toutefois que les déclarations de l</w:t>
      </w:r>
      <w:r w:rsidR="005C50CD" w:rsidRPr="005C50CD">
        <w:rPr>
          <w:lang w:val="fr-FR"/>
        </w:rPr>
        <w:t>’</w:t>
      </w:r>
      <w:r w:rsidRPr="005C50CD">
        <w:rPr>
          <w:lang w:val="fr-FR"/>
        </w:rPr>
        <w:t>intéressé sont demeurées trop générales et imprécises pour emporter la conviction de la Cour quant à ses liens avec un combattant et qui seraient à l</w:t>
      </w:r>
      <w:r w:rsidR="005C50CD" w:rsidRPr="005C50CD">
        <w:rPr>
          <w:lang w:val="fr-FR"/>
        </w:rPr>
        <w:t>’</w:t>
      </w:r>
      <w:r w:rsidRPr="005C50CD">
        <w:rPr>
          <w:lang w:val="fr-FR"/>
        </w:rPr>
        <w:t>origine des persécutions alléguées ; qu</w:t>
      </w:r>
      <w:r w:rsidR="005C50CD" w:rsidRPr="005C50CD">
        <w:rPr>
          <w:lang w:val="fr-FR"/>
        </w:rPr>
        <w:t>’</w:t>
      </w:r>
      <w:r w:rsidRPr="005C50CD">
        <w:rPr>
          <w:lang w:val="fr-FR"/>
        </w:rPr>
        <w:t>en effet, il n</w:t>
      </w:r>
      <w:r w:rsidR="005C50CD" w:rsidRPr="005C50CD">
        <w:rPr>
          <w:lang w:val="fr-FR"/>
        </w:rPr>
        <w:t>’</w:t>
      </w:r>
      <w:r w:rsidRPr="005C50CD">
        <w:rPr>
          <w:lang w:val="fr-FR"/>
        </w:rPr>
        <w:t>a été en mesure d</w:t>
      </w:r>
      <w:r w:rsidR="005C50CD" w:rsidRPr="005C50CD">
        <w:rPr>
          <w:lang w:val="fr-FR"/>
        </w:rPr>
        <w:t>’</w:t>
      </w:r>
      <w:r w:rsidRPr="005C50CD">
        <w:rPr>
          <w:lang w:val="fr-FR"/>
        </w:rPr>
        <w:t>apporter aucune indication sur les activités de son ami en faveur des combattants tchétchènes et que ses déclarations sont demeurées très évasives sur l</w:t>
      </w:r>
      <w:r w:rsidR="005C50CD" w:rsidRPr="005C50CD">
        <w:rPr>
          <w:lang w:val="fr-FR"/>
        </w:rPr>
        <w:t>’</w:t>
      </w:r>
      <w:r w:rsidRPr="005C50CD">
        <w:rPr>
          <w:lang w:val="fr-FR"/>
        </w:rPr>
        <w:t>aide qu</w:t>
      </w:r>
      <w:r w:rsidR="005C50CD" w:rsidRPr="005C50CD">
        <w:rPr>
          <w:lang w:val="fr-FR"/>
        </w:rPr>
        <w:t>’</w:t>
      </w:r>
      <w:r w:rsidRPr="005C50CD">
        <w:rPr>
          <w:lang w:val="fr-FR"/>
        </w:rPr>
        <w:t>il aurait personnellement apportée à ce dernier ; que, par ailleurs, l</w:t>
      </w:r>
      <w:r w:rsidR="005C50CD" w:rsidRPr="005C50CD">
        <w:rPr>
          <w:lang w:val="fr-FR"/>
        </w:rPr>
        <w:t>’</w:t>
      </w:r>
      <w:r w:rsidRPr="005C50CD">
        <w:rPr>
          <w:lang w:val="fr-FR"/>
        </w:rPr>
        <w:t>intéressé a livré un récit peu précis et insuffisamment circonstancié des arrestations dont il aurait été victime, et qu</w:t>
      </w:r>
      <w:r w:rsidR="005C50CD" w:rsidRPr="005C50CD">
        <w:rPr>
          <w:lang w:val="fr-FR"/>
        </w:rPr>
        <w:t>’</w:t>
      </w:r>
      <w:r w:rsidRPr="005C50CD">
        <w:rPr>
          <w:lang w:val="fr-FR"/>
        </w:rPr>
        <w:t>il n</w:t>
      </w:r>
      <w:r w:rsidR="005C50CD" w:rsidRPr="005C50CD">
        <w:rPr>
          <w:lang w:val="fr-FR"/>
        </w:rPr>
        <w:t>’</w:t>
      </w:r>
      <w:r w:rsidRPr="005C50CD">
        <w:rPr>
          <w:lang w:val="fr-FR"/>
        </w:rPr>
        <w:t>a apporté aucun élément convaincant sur les conditions dans lesquelles il aurait été détenu à trois reprises ; qu</w:t>
      </w:r>
      <w:r w:rsidR="005C50CD" w:rsidRPr="005C50CD">
        <w:rPr>
          <w:lang w:val="fr-FR"/>
        </w:rPr>
        <w:t>’</w:t>
      </w:r>
      <w:r w:rsidRPr="005C50CD">
        <w:rPr>
          <w:lang w:val="fr-FR"/>
        </w:rPr>
        <w:t>ainsi, la réalité des soupçons de collusion avec la guérilla nord-caucasienne que les autorités russes nourriraient à son égard n</w:t>
      </w:r>
      <w:r w:rsidR="005C50CD" w:rsidRPr="005C50CD">
        <w:rPr>
          <w:lang w:val="fr-FR"/>
        </w:rPr>
        <w:t>’</w:t>
      </w:r>
      <w:r w:rsidRPr="005C50CD">
        <w:rPr>
          <w:lang w:val="fr-FR"/>
        </w:rPr>
        <w:t>ont pas emporté la conviction de la cour ; que les deux convocations au ROUBOP versées au dossier ne présentent pas de garanties suffisantes d</w:t>
      </w:r>
      <w:r w:rsidR="005C50CD" w:rsidRPr="005C50CD">
        <w:rPr>
          <w:lang w:val="fr-FR"/>
        </w:rPr>
        <w:t>’</w:t>
      </w:r>
      <w:r w:rsidRPr="005C50CD">
        <w:rPr>
          <w:lang w:val="fr-FR"/>
        </w:rPr>
        <w:t>authenticité ; que les divers témoignages produits par des proches, les attestations des organisations « Objektiv » et « Presse centre », ainsi que le certificat médical établi le 29 novembre 2010, ne permettent pas d</w:t>
      </w:r>
      <w:r w:rsidR="005C50CD" w:rsidRPr="005C50CD">
        <w:rPr>
          <w:lang w:val="fr-FR"/>
        </w:rPr>
        <w:t>’</w:t>
      </w:r>
      <w:r w:rsidRPr="005C50CD">
        <w:rPr>
          <w:lang w:val="fr-FR"/>
        </w:rPr>
        <w:t>infirmer cette analyse, en l</w:t>
      </w:r>
      <w:r w:rsidR="005C50CD" w:rsidRPr="005C50CD">
        <w:rPr>
          <w:lang w:val="fr-FR"/>
        </w:rPr>
        <w:t>’</w:t>
      </w:r>
      <w:r w:rsidRPr="005C50CD">
        <w:rPr>
          <w:lang w:val="fr-FR"/>
        </w:rPr>
        <w:t>absence de déclarations convaincantes ; qu</w:t>
      </w:r>
      <w:r w:rsidR="005C50CD" w:rsidRPr="005C50CD">
        <w:rPr>
          <w:lang w:val="fr-FR"/>
        </w:rPr>
        <w:t>’</w:t>
      </w:r>
      <w:r w:rsidRPr="005C50CD">
        <w:rPr>
          <w:lang w:val="fr-FR"/>
        </w:rPr>
        <w:t xml:space="preserve">enfin, les articles de presse internet portant sur la mort de </w:t>
      </w:r>
      <w:r w:rsidR="00FE259F" w:rsidRPr="005C50CD">
        <w:rPr>
          <w:lang w:val="fr-FR"/>
        </w:rPr>
        <w:t>T.I.</w:t>
      </w:r>
      <w:r w:rsidRPr="005C50CD">
        <w:rPr>
          <w:lang w:val="fr-FR"/>
        </w:rPr>
        <w:t xml:space="preserve"> et sur la prolongation du conflit dans leur région d</w:t>
      </w:r>
      <w:r w:rsidR="005C50CD" w:rsidRPr="005C50CD">
        <w:rPr>
          <w:lang w:val="fr-FR"/>
        </w:rPr>
        <w:t>’</w:t>
      </w:r>
      <w:r w:rsidRPr="005C50CD">
        <w:rPr>
          <w:lang w:val="fr-FR"/>
        </w:rPr>
        <w:t>origine ne permettent pas d</w:t>
      </w:r>
      <w:r w:rsidR="005C50CD" w:rsidRPr="005C50CD">
        <w:rPr>
          <w:lang w:val="fr-FR"/>
        </w:rPr>
        <w:t>’</w:t>
      </w:r>
      <w:r w:rsidRPr="005C50CD">
        <w:rPr>
          <w:lang w:val="fr-FR"/>
        </w:rPr>
        <w:t>attester l</w:t>
      </w:r>
      <w:r w:rsidR="005C50CD" w:rsidRPr="005C50CD">
        <w:rPr>
          <w:lang w:val="fr-FR"/>
        </w:rPr>
        <w:t>’</w:t>
      </w:r>
      <w:r w:rsidRPr="005C50CD">
        <w:rPr>
          <w:lang w:val="fr-FR"/>
        </w:rPr>
        <w:t>existence de craintes personnelles et actuelles du requérant en cas de retour en Tchétchénie</w:t>
      </w:r>
      <w:r w:rsidR="00707C2B" w:rsidRPr="005C50CD">
        <w:rPr>
          <w:lang w:val="fr-FR"/>
        </w:rPr>
        <w:t> ; (...)</w:t>
      </w:r>
      <w:r w:rsidRPr="005C50CD">
        <w:rPr>
          <w:lang w:val="fr-FR"/>
        </w:rPr>
        <w:t> »</w:t>
      </w:r>
    </w:p>
    <w:p w:rsidR="005C50CD" w:rsidRPr="005C50CD" w:rsidRDefault="00024F70"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18</w:t>
      </w:r>
      <w:r w:rsidRPr="005C50CD">
        <w:rPr>
          <w:lang w:val="fr-FR"/>
        </w:rPr>
        <w:fldChar w:fldCharType="end"/>
      </w:r>
      <w:r w:rsidRPr="005C50CD">
        <w:rPr>
          <w:lang w:val="fr-FR"/>
        </w:rPr>
        <w:t>.  </w:t>
      </w:r>
      <w:r w:rsidR="0099104B" w:rsidRPr="005C50CD">
        <w:rPr>
          <w:lang w:val="fr-FR"/>
        </w:rPr>
        <w:t>En parallèle, l</w:t>
      </w:r>
      <w:r w:rsidRPr="005C50CD">
        <w:rPr>
          <w:lang w:val="fr-FR"/>
        </w:rPr>
        <w:t>e requérant fut condamné à quatre reprises entre 2009 et 2010 pour des faits, notamment, de conduite de véhicule sous l</w:t>
      </w:r>
      <w:r w:rsidR="005C50CD" w:rsidRPr="005C50CD">
        <w:rPr>
          <w:lang w:val="fr-FR"/>
        </w:rPr>
        <w:t>’</w:t>
      </w:r>
      <w:r w:rsidRPr="005C50CD">
        <w:rPr>
          <w:lang w:val="fr-FR"/>
        </w:rPr>
        <w:t>empire d</w:t>
      </w:r>
      <w:r w:rsidR="005C50CD" w:rsidRPr="005C50CD">
        <w:rPr>
          <w:lang w:val="fr-FR"/>
        </w:rPr>
        <w:t>’</w:t>
      </w:r>
      <w:r w:rsidRPr="005C50CD">
        <w:rPr>
          <w:lang w:val="fr-FR"/>
        </w:rPr>
        <w:t>un état alcoolique, circulation avec un véhicule sans assurance, conduite d</w:t>
      </w:r>
      <w:r w:rsidR="005C50CD" w:rsidRPr="005C50CD">
        <w:rPr>
          <w:lang w:val="fr-FR"/>
        </w:rPr>
        <w:t>’</w:t>
      </w:r>
      <w:r w:rsidRPr="005C50CD">
        <w:rPr>
          <w:lang w:val="fr-FR"/>
        </w:rPr>
        <w:t>un véhicule à moteur sans permis. Interpellé en 2011 pour des faits de violence, il fut condamné, le 12 février 2</w:t>
      </w:r>
      <w:r w:rsidR="005C50CD" w:rsidRPr="005C50CD">
        <w:rPr>
          <w:lang w:val="fr-FR"/>
        </w:rPr>
        <w:t xml:space="preserve">013, à une peine de quatre </w:t>
      </w:r>
      <w:r w:rsidRPr="005C50CD">
        <w:rPr>
          <w:lang w:val="fr-FR"/>
        </w:rPr>
        <w:t>ans d</w:t>
      </w:r>
      <w:r w:rsidR="005C50CD" w:rsidRPr="005C50CD">
        <w:rPr>
          <w:lang w:val="fr-FR"/>
        </w:rPr>
        <w:t>’</w:t>
      </w:r>
      <w:r w:rsidRPr="005C50CD">
        <w:rPr>
          <w:lang w:val="fr-FR"/>
        </w:rPr>
        <w:t>emprisonnement.</w:t>
      </w:r>
    </w:p>
    <w:p w:rsidR="005C50CD" w:rsidRPr="005C50CD" w:rsidRDefault="00024F70"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19</w:t>
      </w:r>
      <w:r w:rsidRPr="005C50CD">
        <w:rPr>
          <w:lang w:val="fr-FR"/>
        </w:rPr>
        <w:fldChar w:fldCharType="end"/>
      </w:r>
      <w:r w:rsidRPr="005C50CD">
        <w:rPr>
          <w:lang w:val="fr-FR"/>
        </w:rPr>
        <w:t>.  Le 13 décembre 2011, un arrêté portant obligation de quitter le territoire fut pris à son encontre.</w:t>
      </w:r>
    </w:p>
    <w:p w:rsidR="00C51F50" w:rsidRPr="005C50CD" w:rsidRDefault="00024F70"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20</w:t>
      </w:r>
      <w:r w:rsidRPr="005C50CD">
        <w:rPr>
          <w:lang w:val="fr-FR"/>
        </w:rPr>
        <w:fldChar w:fldCharType="end"/>
      </w:r>
      <w:r w:rsidRPr="005C50CD">
        <w:rPr>
          <w:lang w:val="fr-FR"/>
        </w:rPr>
        <w:t>.  Au cours de sa détention, le requérant forma une demande de réexamen</w:t>
      </w:r>
      <w:r w:rsidR="003E32DA" w:rsidRPr="005C50CD">
        <w:rPr>
          <w:lang w:val="fr-FR"/>
        </w:rPr>
        <w:t xml:space="preserve"> de sa demande d</w:t>
      </w:r>
      <w:r w:rsidR="005C50CD" w:rsidRPr="005C50CD">
        <w:rPr>
          <w:lang w:val="fr-FR"/>
        </w:rPr>
        <w:t>’</w:t>
      </w:r>
      <w:r w:rsidR="003E32DA" w:rsidRPr="005C50CD">
        <w:rPr>
          <w:lang w:val="fr-FR"/>
        </w:rPr>
        <w:t xml:space="preserve">asile en indiquant être toujours recherché par les autorités de son pays. Il rapporta que son père et son oncle avaient été convoqués par le ROUBOP </w:t>
      </w:r>
      <w:r w:rsidR="0064194C" w:rsidRPr="005C50CD">
        <w:rPr>
          <w:lang w:val="fr-FR"/>
        </w:rPr>
        <w:t xml:space="preserve">le 3 novembre 2008 </w:t>
      </w:r>
      <w:r w:rsidR="003E32DA" w:rsidRPr="005C50CD">
        <w:rPr>
          <w:lang w:val="fr-FR"/>
        </w:rPr>
        <w:t>et interrogés à son sujet,</w:t>
      </w:r>
      <w:r w:rsidR="007B30DC" w:rsidRPr="005C50CD">
        <w:rPr>
          <w:lang w:val="fr-FR"/>
        </w:rPr>
        <w:t xml:space="preserve"> et</w:t>
      </w:r>
      <w:r w:rsidR="003E32DA" w:rsidRPr="005C50CD">
        <w:rPr>
          <w:lang w:val="fr-FR"/>
        </w:rPr>
        <w:t xml:space="preserve"> </w:t>
      </w:r>
      <w:r w:rsidR="00697080" w:rsidRPr="005C50CD">
        <w:rPr>
          <w:lang w:val="fr-FR"/>
        </w:rPr>
        <w:t xml:space="preserve">il </w:t>
      </w:r>
      <w:r w:rsidR="003E32DA" w:rsidRPr="005C50CD">
        <w:rPr>
          <w:lang w:val="fr-FR"/>
        </w:rPr>
        <w:t>fournit certaines de ces convocations. Outre les documents déjà produits lors de sa précédente demande d</w:t>
      </w:r>
      <w:r w:rsidR="005C50CD" w:rsidRPr="005C50CD">
        <w:rPr>
          <w:lang w:val="fr-FR"/>
        </w:rPr>
        <w:t>’</w:t>
      </w:r>
      <w:r w:rsidR="003E32DA" w:rsidRPr="005C50CD">
        <w:rPr>
          <w:lang w:val="fr-FR"/>
        </w:rPr>
        <w:t xml:space="preserve">asile, il versa à son dossier deux certificats médicaux </w:t>
      </w:r>
      <w:r w:rsidR="00C51F50" w:rsidRPr="005C50CD">
        <w:rPr>
          <w:lang w:val="fr-FR"/>
        </w:rPr>
        <w:t>émanant du « Centre républicain Clinique de protection de la santé de la mère et de l</w:t>
      </w:r>
      <w:r w:rsidR="005C50CD" w:rsidRPr="005C50CD">
        <w:rPr>
          <w:lang w:val="fr-FR"/>
        </w:rPr>
        <w:t>’</w:t>
      </w:r>
      <w:r w:rsidR="00C51F50" w:rsidRPr="005C50CD">
        <w:rPr>
          <w:lang w:val="fr-FR"/>
        </w:rPr>
        <w:t xml:space="preserve">enfant » et </w:t>
      </w:r>
      <w:r w:rsidR="003E32DA" w:rsidRPr="005C50CD">
        <w:rPr>
          <w:lang w:val="fr-FR"/>
        </w:rPr>
        <w:t>relatifs à l</w:t>
      </w:r>
      <w:r w:rsidR="005C50CD" w:rsidRPr="005C50CD">
        <w:rPr>
          <w:lang w:val="fr-FR"/>
        </w:rPr>
        <w:t>’</w:t>
      </w:r>
      <w:r w:rsidR="003E32DA" w:rsidRPr="005C50CD">
        <w:rPr>
          <w:lang w:val="fr-FR"/>
        </w:rPr>
        <w:t>hospitalisation de son épouse et à la naissance prématurée de son enfant en novembre 2007</w:t>
      </w:r>
      <w:r w:rsidR="00C51F50" w:rsidRPr="005C50CD">
        <w:rPr>
          <w:lang w:val="fr-FR"/>
        </w:rPr>
        <w:t>. Le premier certificat est ainsi libellé :</w:t>
      </w:r>
    </w:p>
    <w:p w:rsidR="00C51F50" w:rsidRPr="005C50CD" w:rsidRDefault="00C51F50" w:rsidP="005C50CD">
      <w:pPr>
        <w:pStyle w:val="ECHRParaQuote"/>
        <w:rPr>
          <w:lang w:val="fr-FR"/>
        </w:rPr>
      </w:pPr>
      <w:r w:rsidRPr="005C50CD">
        <w:rPr>
          <w:lang w:val="fr-FR"/>
        </w:rPr>
        <w:t>« Elle a été admise le 14 novembre 2007 à 11 heures au service de maternité du Centre républicain Clinique de protection de la santé de la mère et de l</w:t>
      </w:r>
      <w:r w:rsidR="005C50CD" w:rsidRPr="005C50CD">
        <w:rPr>
          <w:lang w:val="fr-FR"/>
        </w:rPr>
        <w:t>’</w:t>
      </w:r>
      <w:r w:rsidR="00891841" w:rsidRPr="005C50CD">
        <w:rPr>
          <w:lang w:val="fr-FR"/>
        </w:rPr>
        <w:t xml:space="preserve">enfant </w:t>
      </w:r>
      <w:r w:rsidRPr="005C50CD">
        <w:rPr>
          <w:lang w:val="fr-FR"/>
        </w:rPr>
        <w:t>de la ville de Grozny. Le 22 novembre 2007 à 11 heures elle a accouché d</w:t>
      </w:r>
      <w:r w:rsidR="005C50CD" w:rsidRPr="005C50CD">
        <w:rPr>
          <w:lang w:val="fr-FR"/>
        </w:rPr>
        <w:t>’</w:t>
      </w:r>
      <w:r w:rsidRPr="005C50CD">
        <w:rPr>
          <w:lang w:val="fr-FR"/>
        </w:rPr>
        <w:t>un enfant prématuré suite à des coups qu</w:t>
      </w:r>
      <w:r w:rsidR="005C50CD" w:rsidRPr="005C50CD">
        <w:rPr>
          <w:lang w:val="fr-FR"/>
        </w:rPr>
        <w:t>’</w:t>
      </w:r>
      <w:r w:rsidRPr="005C50CD">
        <w:rPr>
          <w:lang w:val="fr-FR"/>
        </w:rPr>
        <w:t>elle avait reçus. »</w:t>
      </w:r>
    </w:p>
    <w:p w:rsidR="00C51F50" w:rsidRPr="005C50CD" w:rsidRDefault="00C51F50" w:rsidP="005C50CD">
      <w:pPr>
        <w:pStyle w:val="ECHRPara"/>
        <w:rPr>
          <w:lang w:val="fr-FR"/>
        </w:rPr>
      </w:pPr>
      <w:r w:rsidRPr="005C50CD">
        <w:rPr>
          <w:lang w:val="fr-FR"/>
        </w:rPr>
        <w:lastRenderedPageBreak/>
        <w:t>Le second certificat indique, entre autres, que la femme du requérant a accouché d</w:t>
      </w:r>
      <w:r w:rsidR="005C50CD" w:rsidRPr="005C50CD">
        <w:rPr>
          <w:lang w:val="fr-FR"/>
        </w:rPr>
        <w:t>’</w:t>
      </w:r>
      <w:r w:rsidRPr="005C50CD">
        <w:rPr>
          <w:lang w:val="fr-FR"/>
        </w:rPr>
        <w:t>un enfant prématuré le 22 novembre 2007. Le requérant produisit, par ailleurs,</w:t>
      </w:r>
      <w:r w:rsidR="003E32DA" w:rsidRPr="005C50CD">
        <w:rPr>
          <w:lang w:val="fr-FR"/>
        </w:rPr>
        <w:t xml:space="preserve"> de </w:t>
      </w:r>
      <w:r w:rsidRPr="005C50CD">
        <w:rPr>
          <w:lang w:val="fr-FR"/>
        </w:rPr>
        <w:t xml:space="preserve">nouvelles </w:t>
      </w:r>
      <w:r w:rsidR="00B03BCD" w:rsidRPr="005C50CD">
        <w:rPr>
          <w:lang w:val="fr-FR"/>
        </w:rPr>
        <w:t>attestations</w:t>
      </w:r>
      <w:r w:rsidR="003E32DA" w:rsidRPr="005C50CD">
        <w:rPr>
          <w:lang w:val="fr-FR"/>
        </w:rPr>
        <w:t xml:space="preserve"> de proches et </w:t>
      </w:r>
      <w:r w:rsidR="00033F59" w:rsidRPr="005C50CD">
        <w:rPr>
          <w:lang w:val="fr-FR"/>
        </w:rPr>
        <w:t>d</w:t>
      </w:r>
      <w:r w:rsidR="005C50CD" w:rsidRPr="005C50CD">
        <w:rPr>
          <w:lang w:val="fr-FR"/>
        </w:rPr>
        <w:t>’</w:t>
      </w:r>
      <w:r w:rsidR="00033F59" w:rsidRPr="005C50CD">
        <w:rPr>
          <w:lang w:val="fr-FR"/>
        </w:rPr>
        <w:t>organisations non gouvernementales</w:t>
      </w:r>
      <w:r w:rsidR="003E32DA" w:rsidRPr="005C50CD">
        <w:rPr>
          <w:lang w:val="fr-FR"/>
        </w:rPr>
        <w:t xml:space="preserve"> confirmant ses dires. </w:t>
      </w:r>
      <w:r w:rsidRPr="005C50CD">
        <w:rPr>
          <w:lang w:val="fr-FR"/>
        </w:rPr>
        <w:t>En particulier, il versa aux débats deux témoignages. Le premier, rédigé par un</w:t>
      </w:r>
      <w:r w:rsidR="00B03BCD" w:rsidRPr="005C50CD">
        <w:rPr>
          <w:lang w:val="fr-FR"/>
        </w:rPr>
        <w:t>e de ses voisines en Tchétchénie, se lit comme suit :</w:t>
      </w:r>
    </w:p>
    <w:p w:rsidR="00B03BCD" w:rsidRPr="005C50CD" w:rsidRDefault="00B03BCD" w:rsidP="005C50CD">
      <w:pPr>
        <w:pStyle w:val="ECHRParaQuote"/>
        <w:rPr>
          <w:lang w:val="fr-FR"/>
        </w:rPr>
      </w:pPr>
      <w:r w:rsidRPr="005C50CD">
        <w:rPr>
          <w:lang w:val="fr-FR"/>
        </w:rPr>
        <w:t>« En milieu de novembre 2007, à minuit, nous avons entendu des cris de secours, mais nous avons eu peur d</w:t>
      </w:r>
      <w:r w:rsidR="005C50CD" w:rsidRPr="005C50CD">
        <w:rPr>
          <w:lang w:val="fr-FR"/>
        </w:rPr>
        <w:t>’</w:t>
      </w:r>
      <w:r w:rsidRPr="005C50CD">
        <w:rPr>
          <w:lang w:val="fr-FR"/>
        </w:rPr>
        <w:t>aller les aider. En regardant par la fenêtre, nous avons vu dans la cour des gens armés, en uniforme militaire et cagoulés. J</w:t>
      </w:r>
      <w:r w:rsidR="005C50CD" w:rsidRPr="005C50CD">
        <w:rPr>
          <w:lang w:val="fr-FR"/>
        </w:rPr>
        <w:t>’</w:t>
      </w:r>
      <w:r w:rsidR="00891841" w:rsidRPr="005C50CD">
        <w:rPr>
          <w:lang w:val="fr-FR"/>
        </w:rPr>
        <w:t>attendis</w:t>
      </w:r>
      <w:r w:rsidRPr="005C50CD">
        <w:rPr>
          <w:lang w:val="fr-FR"/>
        </w:rPr>
        <w:t xml:space="preserve"> leur départ, pour sortir et aller chez eux. Je suis rentrée chez eux et j</w:t>
      </w:r>
      <w:r w:rsidR="005C50CD" w:rsidRPr="005C50CD">
        <w:rPr>
          <w:lang w:val="fr-FR"/>
        </w:rPr>
        <w:t>’</w:t>
      </w:r>
      <w:r w:rsidRPr="005C50CD">
        <w:rPr>
          <w:lang w:val="fr-FR"/>
        </w:rPr>
        <w:t>ai vu L. [la femme du requérant] allongée sur le sol sans connaissance. Son mari avait été enlevé et emmené vers une destination inconnue. J</w:t>
      </w:r>
      <w:r w:rsidR="005C50CD" w:rsidRPr="005C50CD">
        <w:rPr>
          <w:lang w:val="fr-FR"/>
        </w:rPr>
        <w:t>’</w:t>
      </w:r>
      <w:r w:rsidRPr="005C50CD">
        <w:rPr>
          <w:lang w:val="fr-FR"/>
        </w:rPr>
        <w:t>ai appelé l</w:t>
      </w:r>
      <w:r w:rsidR="005C50CD" w:rsidRPr="005C50CD">
        <w:rPr>
          <w:lang w:val="fr-FR"/>
        </w:rPr>
        <w:t>’</w:t>
      </w:r>
      <w:r w:rsidRPr="005C50CD">
        <w:rPr>
          <w:lang w:val="fr-FR"/>
        </w:rPr>
        <w:t>urgence, L. avait été emmenée sans connaissance à l</w:t>
      </w:r>
      <w:r w:rsidR="005C50CD" w:rsidRPr="005C50CD">
        <w:rPr>
          <w:lang w:val="fr-FR"/>
        </w:rPr>
        <w:t>’</w:t>
      </w:r>
      <w:r w:rsidRPr="005C50CD">
        <w:rPr>
          <w:lang w:val="fr-FR"/>
        </w:rPr>
        <w:t>hôpital. Après quelques jours, elle a donné naissance à un prématuré de six mois. Douze jours</w:t>
      </w:r>
      <w:r w:rsidR="0093019F" w:rsidRPr="005C50CD">
        <w:rPr>
          <w:lang w:val="fr-FR"/>
        </w:rPr>
        <w:t xml:space="preserve"> après</w:t>
      </w:r>
      <w:r w:rsidRPr="005C50CD">
        <w:rPr>
          <w:lang w:val="fr-FR"/>
        </w:rPr>
        <w:t>, elle a perdu son enfant. (</w:t>
      </w:r>
      <w:r w:rsidR="00AE19D6" w:rsidRPr="005C50CD">
        <w:rPr>
          <w:lang w:val="fr-FR"/>
        </w:rPr>
        <w:t>...</w:t>
      </w:r>
      <w:r w:rsidRPr="005C50CD">
        <w:rPr>
          <w:lang w:val="fr-FR"/>
        </w:rPr>
        <w:t>) »</w:t>
      </w:r>
    </w:p>
    <w:p w:rsidR="00B03BCD" w:rsidRPr="005C50CD" w:rsidRDefault="00B03BCD" w:rsidP="005C50CD">
      <w:pPr>
        <w:pStyle w:val="ECHRPara"/>
        <w:rPr>
          <w:lang w:val="fr-FR"/>
        </w:rPr>
      </w:pPr>
      <w:r w:rsidRPr="005C50CD">
        <w:rPr>
          <w:lang w:val="fr-FR"/>
        </w:rPr>
        <w:t>Le second émane de la mère de la femme du requérant, celle-ci indique :</w:t>
      </w:r>
    </w:p>
    <w:p w:rsidR="00B03BCD" w:rsidRPr="005C50CD" w:rsidRDefault="00B03BCD" w:rsidP="005C50CD">
      <w:pPr>
        <w:pStyle w:val="ECHRParaQuote"/>
        <w:rPr>
          <w:lang w:val="fr-FR"/>
        </w:rPr>
      </w:pPr>
      <w:r w:rsidRPr="005C50CD">
        <w:rPr>
          <w:lang w:val="fr-FR"/>
        </w:rPr>
        <w:t>« En novembre 2007 ma fille a eu un choc nerveux très important, elle a subi des violences physiques. Suite à cela elle a accouché d</w:t>
      </w:r>
      <w:r w:rsidR="005C50CD" w:rsidRPr="005C50CD">
        <w:rPr>
          <w:lang w:val="fr-FR"/>
        </w:rPr>
        <w:t>’</w:t>
      </w:r>
      <w:r w:rsidRPr="005C50CD">
        <w:rPr>
          <w:lang w:val="fr-FR"/>
        </w:rPr>
        <w:t>un enfant prématuré et a été hospitalisée. Son mari a dû quitter la Tchétchénie, ma fille est rentrée à la maison chez moi. Nous avons pensé qu</w:t>
      </w:r>
      <w:r w:rsidR="005C50CD" w:rsidRPr="005C50CD">
        <w:rPr>
          <w:lang w:val="fr-FR"/>
        </w:rPr>
        <w:t>’</w:t>
      </w:r>
      <w:r w:rsidRPr="005C50CD">
        <w:rPr>
          <w:lang w:val="fr-FR"/>
        </w:rPr>
        <w:t>on allait laisser ma fille tranquille mais en 2008 les militaires sont venus nous voir pour nous interroger sur l</w:t>
      </w:r>
      <w:r w:rsidR="005C50CD" w:rsidRPr="005C50CD">
        <w:rPr>
          <w:lang w:val="fr-FR"/>
        </w:rPr>
        <w:t>’</w:t>
      </w:r>
      <w:r w:rsidRPr="005C50CD">
        <w:rPr>
          <w:lang w:val="fr-FR"/>
        </w:rPr>
        <w:t>endroit où pourrait se trouver notre gendre. (</w:t>
      </w:r>
      <w:r w:rsidR="00AE19D6" w:rsidRPr="005C50CD">
        <w:rPr>
          <w:lang w:val="fr-FR"/>
        </w:rPr>
        <w:t>...</w:t>
      </w:r>
      <w:r w:rsidRPr="005C50CD">
        <w:rPr>
          <w:lang w:val="fr-FR"/>
        </w:rPr>
        <w:t>) »</w:t>
      </w:r>
    </w:p>
    <w:p w:rsidR="005C50CD" w:rsidRPr="005C50CD" w:rsidRDefault="00B03BCD"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21</w:t>
      </w:r>
      <w:r w:rsidRPr="005C50CD">
        <w:rPr>
          <w:lang w:val="fr-FR"/>
        </w:rPr>
        <w:fldChar w:fldCharType="end"/>
      </w:r>
      <w:r w:rsidRPr="005C50CD">
        <w:rPr>
          <w:lang w:val="fr-FR"/>
        </w:rPr>
        <w:t>.  </w:t>
      </w:r>
      <w:r w:rsidR="003E32DA" w:rsidRPr="005C50CD">
        <w:rPr>
          <w:lang w:val="fr-FR"/>
        </w:rPr>
        <w:t>L</w:t>
      </w:r>
      <w:r w:rsidR="005C50CD" w:rsidRPr="005C50CD">
        <w:rPr>
          <w:lang w:val="fr-FR"/>
        </w:rPr>
        <w:t>’</w:t>
      </w:r>
      <w:r w:rsidR="003E32DA" w:rsidRPr="005C50CD">
        <w:rPr>
          <w:lang w:val="fr-FR"/>
        </w:rPr>
        <w:t xml:space="preserve">OFPRA, le 7 juin 2013, puis la CNDA, le 17 avril 2014, rejetèrent la demande de réexamen, </w:t>
      </w:r>
      <w:r w:rsidR="00697080" w:rsidRPr="005C50CD">
        <w:rPr>
          <w:lang w:val="fr-FR"/>
        </w:rPr>
        <w:t>estimant que le</w:t>
      </w:r>
      <w:r w:rsidR="003E32DA" w:rsidRPr="005C50CD">
        <w:rPr>
          <w:lang w:val="fr-FR"/>
        </w:rPr>
        <w:t xml:space="preserve"> requérant n</w:t>
      </w:r>
      <w:r w:rsidR="005C50CD" w:rsidRPr="005C50CD">
        <w:rPr>
          <w:lang w:val="fr-FR"/>
        </w:rPr>
        <w:t>’</w:t>
      </w:r>
      <w:r w:rsidR="003E32DA" w:rsidRPr="005C50CD">
        <w:rPr>
          <w:lang w:val="fr-FR"/>
        </w:rPr>
        <w:t>invoqu</w:t>
      </w:r>
      <w:r w:rsidR="00697080" w:rsidRPr="005C50CD">
        <w:rPr>
          <w:lang w:val="fr-FR"/>
        </w:rPr>
        <w:t>ait</w:t>
      </w:r>
      <w:r w:rsidR="003E32DA" w:rsidRPr="005C50CD">
        <w:rPr>
          <w:lang w:val="fr-FR"/>
        </w:rPr>
        <w:t xml:space="preserve"> aucun fait nouveau.</w:t>
      </w:r>
    </w:p>
    <w:p w:rsidR="00707C2B" w:rsidRPr="005C50CD" w:rsidRDefault="003E32DA"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22</w:t>
      </w:r>
      <w:r w:rsidRPr="005C50CD">
        <w:rPr>
          <w:lang w:val="fr-FR"/>
        </w:rPr>
        <w:fldChar w:fldCharType="end"/>
      </w:r>
      <w:r w:rsidRPr="005C50CD">
        <w:rPr>
          <w:lang w:val="fr-FR"/>
        </w:rPr>
        <w:t>.  </w:t>
      </w:r>
      <w:r w:rsidR="00024F70" w:rsidRPr="005C50CD">
        <w:rPr>
          <w:lang w:val="fr-FR"/>
        </w:rPr>
        <w:t>À sa sortie de prison, le 3 décembre 2014, le requérant se vit notifier deux arrêtés, l</w:t>
      </w:r>
      <w:r w:rsidR="005C50CD" w:rsidRPr="005C50CD">
        <w:rPr>
          <w:lang w:val="fr-FR"/>
        </w:rPr>
        <w:t>’</w:t>
      </w:r>
      <w:r w:rsidR="00024F70" w:rsidRPr="005C50CD">
        <w:rPr>
          <w:lang w:val="fr-FR"/>
        </w:rPr>
        <w:t>un portant obligation de quitter le territoire et l</w:t>
      </w:r>
      <w:r w:rsidR="005C50CD" w:rsidRPr="005C50CD">
        <w:rPr>
          <w:lang w:val="fr-FR"/>
        </w:rPr>
        <w:t>’</w:t>
      </w:r>
      <w:r w:rsidR="00024F70" w:rsidRPr="005C50CD">
        <w:rPr>
          <w:lang w:val="fr-FR"/>
        </w:rPr>
        <w:t>autre ordonnant son placement en rétention, qu</w:t>
      </w:r>
      <w:r w:rsidR="005C50CD" w:rsidRPr="005C50CD">
        <w:rPr>
          <w:lang w:val="fr-FR"/>
        </w:rPr>
        <w:t>’</w:t>
      </w:r>
      <w:r w:rsidR="00024F70" w:rsidRPr="005C50CD">
        <w:rPr>
          <w:lang w:val="fr-FR"/>
        </w:rPr>
        <w:t>il contesta immédiatement. Par un jugement du 6 décembre 2014, le tribunal administratif de Marseille rejeta son recours, estimant que les documents produits, antérieurs à 2007 en ce qui le concern</w:t>
      </w:r>
      <w:r w:rsidR="007B30DC" w:rsidRPr="005C50CD">
        <w:rPr>
          <w:lang w:val="fr-FR"/>
        </w:rPr>
        <w:t>ait</w:t>
      </w:r>
      <w:r w:rsidR="00024F70" w:rsidRPr="005C50CD">
        <w:rPr>
          <w:lang w:val="fr-FR"/>
        </w:rPr>
        <w:t>, n</w:t>
      </w:r>
      <w:r w:rsidR="005C50CD" w:rsidRPr="005C50CD">
        <w:rPr>
          <w:lang w:val="fr-FR"/>
        </w:rPr>
        <w:t>’</w:t>
      </w:r>
      <w:r w:rsidR="00024F70" w:rsidRPr="005C50CD">
        <w:rPr>
          <w:lang w:val="fr-FR"/>
        </w:rPr>
        <w:t xml:space="preserve">établissaient pas la réalité de la menace actuelle, en cas de retour en Fédération de Russie, de subir des traitements inhumains ou dégradants. </w:t>
      </w:r>
      <w:r w:rsidRPr="005C50CD">
        <w:rPr>
          <w:lang w:val="fr-FR"/>
        </w:rPr>
        <w:t>Le requérant interjeta appel de ce jugement, son recours est actuellement pendant.</w:t>
      </w:r>
    </w:p>
    <w:p w:rsidR="00024F70" w:rsidRPr="005C50CD" w:rsidRDefault="00024F70"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23</w:t>
      </w:r>
      <w:r w:rsidRPr="005C50CD">
        <w:rPr>
          <w:lang w:val="fr-FR"/>
        </w:rPr>
        <w:fldChar w:fldCharType="end"/>
      </w:r>
      <w:r w:rsidRPr="005C50CD">
        <w:rPr>
          <w:lang w:val="fr-FR"/>
        </w:rPr>
        <w:t>.  Il sollicita, à l</w:t>
      </w:r>
      <w:r w:rsidR="005C50CD" w:rsidRPr="005C50CD">
        <w:rPr>
          <w:lang w:val="fr-FR"/>
        </w:rPr>
        <w:t>’</w:t>
      </w:r>
      <w:r w:rsidRPr="005C50CD">
        <w:rPr>
          <w:lang w:val="fr-FR"/>
        </w:rPr>
        <w:t>occasion de son placement en rétention, le 8 décembre 2014, le réexamen de sa demande d</w:t>
      </w:r>
      <w:r w:rsidR="005C50CD" w:rsidRPr="005C50CD">
        <w:rPr>
          <w:lang w:val="fr-FR"/>
        </w:rPr>
        <w:t>’</w:t>
      </w:r>
      <w:r w:rsidRPr="005C50CD">
        <w:rPr>
          <w:lang w:val="fr-FR"/>
        </w:rPr>
        <w:t>asile en faisant état de l</w:t>
      </w:r>
      <w:r w:rsidR="005C50CD" w:rsidRPr="005C50CD">
        <w:rPr>
          <w:lang w:val="fr-FR"/>
        </w:rPr>
        <w:t>’</w:t>
      </w:r>
      <w:r w:rsidRPr="005C50CD">
        <w:rPr>
          <w:lang w:val="fr-FR"/>
        </w:rPr>
        <w:t xml:space="preserve">interpellation de son père, le 4 décembre </w:t>
      </w:r>
      <w:r w:rsidR="007B30DC" w:rsidRPr="005C50CD">
        <w:rPr>
          <w:lang w:val="fr-FR"/>
        </w:rPr>
        <w:t>précédent</w:t>
      </w:r>
      <w:r w:rsidRPr="005C50CD">
        <w:rPr>
          <w:lang w:val="fr-FR"/>
        </w:rPr>
        <w:t xml:space="preserve">, du fait des accusations portées contre lui. </w:t>
      </w:r>
      <w:r w:rsidR="003E32DA" w:rsidRPr="005C50CD">
        <w:rPr>
          <w:lang w:val="fr-FR"/>
        </w:rPr>
        <w:t>Par une décision du 19 décembre</w:t>
      </w:r>
      <w:r w:rsidR="00891841" w:rsidRPr="005C50CD">
        <w:rPr>
          <w:lang w:val="fr-FR"/>
        </w:rPr>
        <w:t xml:space="preserve"> 2014, confirmée en appel le 11 </w:t>
      </w:r>
      <w:r w:rsidR="003E32DA" w:rsidRPr="005C50CD">
        <w:rPr>
          <w:lang w:val="fr-FR"/>
        </w:rPr>
        <w:t>juin 2015, l</w:t>
      </w:r>
      <w:r w:rsidR="005C50CD" w:rsidRPr="005C50CD">
        <w:rPr>
          <w:lang w:val="fr-FR"/>
        </w:rPr>
        <w:t>’</w:t>
      </w:r>
      <w:r w:rsidR="003E32DA" w:rsidRPr="005C50CD">
        <w:rPr>
          <w:lang w:val="fr-FR"/>
        </w:rPr>
        <w:t>OFPRA rejeta son recours.</w:t>
      </w:r>
    </w:p>
    <w:p w:rsidR="0078258D" w:rsidRPr="005C50CD" w:rsidRDefault="00024F70"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24</w:t>
      </w:r>
      <w:r w:rsidRPr="005C50CD">
        <w:rPr>
          <w:lang w:val="fr-FR"/>
        </w:rPr>
        <w:fldChar w:fldCharType="end"/>
      </w:r>
      <w:r w:rsidRPr="005C50CD">
        <w:rPr>
          <w:lang w:val="fr-FR"/>
        </w:rPr>
        <w:t xml:space="preserve">.  Le 22 décembre 2014, le requérant saisit la Cour </w:t>
      </w:r>
      <w:r w:rsidR="007B30DC" w:rsidRPr="005C50CD">
        <w:rPr>
          <w:lang w:val="fr-FR"/>
        </w:rPr>
        <w:t>d</w:t>
      </w:r>
      <w:r w:rsidR="005C50CD" w:rsidRPr="005C50CD">
        <w:rPr>
          <w:lang w:val="fr-FR"/>
        </w:rPr>
        <w:t>’</w:t>
      </w:r>
      <w:r w:rsidRPr="005C50CD">
        <w:rPr>
          <w:lang w:val="fr-FR"/>
        </w:rPr>
        <w:t>une demande de mesure provisoire sur le fondement de l</w:t>
      </w:r>
      <w:r w:rsidR="005C50CD" w:rsidRPr="005C50CD">
        <w:rPr>
          <w:lang w:val="fr-FR"/>
        </w:rPr>
        <w:t>’</w:t>
      </w:r>
      <w:r w:rsidRPr="005C50CD">
        <w:rPr>
          <w:lang w:val="fr-FR"/>
        </w:rPr>
        <w:t xml:space="preserve">article 39 de son règlement. Le lendemain, le </w:t>
      </w:r>
      <w:r w:rsidR="00EC2A52" w:rsidRPr="005C50CD">
        <w:rPr>
          <w:lang w:val="fr-FR"/>
        </w:rPr>
        <w:t xml:space="preserve">juge faisant fonction de </w:t>
      </w:r>
      <w:r w:rsidRPr="005C50CD">
        <w:rPr>
          <w:lang w:val="fr-FR"/>
        </w:rPr>
        <w:t xml:space="preserve">président de la </w:t>
      </w:r>
      <w:r w:rsidR="00EC2A52" w:rsidRPr="005C50CD">
        <w:rPr>
          <w:lang w:val="fr-FR"/>
        </w:rPr>
        <w:t>section</w:t>
      </w:r>
      <w:r w:rsidRPr="005C50CD">
        <w:rPr>
          <w:lang w:val="fr-FR"/>
        </w:rPr>
        <w:t xml:space="preserve"> à laquelle l</w:t>
      </w:r>
      <w:r w:rsidR="005C50CD" w:rsidRPr="005C50CD">
        <w:rPr>
          <w:lang w:val="fr-FR"/>
        </w:rPr>
        <w:t>’</w:t>
      </w:r>
      <w:r w:rsidRPr="005C50CD">
        <w:rPr>
          <w:lang w:val="fr-FR"/>
        </w:rPr>
        <w:t>affaire fut attribuée décida d</w:t>
      </w:r>
      <w:r w:rsidR="005C50CD" w:rsidRPr="005C50CD">
        <w:rPr>
          <w:lang w:val="fr-FR"/>
        </w:rPr>
        <w:t>’</w:t>
      </w:r>
      <w:r w:rsidRPr="005C50CD">
        <w:rPr>
          <w:lang w:val="fr-FR"/>
        </w:rPr>
        <w:t>indiquer au Gouvernement français, en application de la disposition précitée, de ne pas renvoyer le requérant vers la Fédération de Russie pour la durée de la procédure devant la Cour.</w:t>
      </w:r>
    </w:p>
    <w:p w:rsidR="003F3CE4" w:rsidRPr="005C50CD" w:rsidRDefault="003F3CE4" w:rsidP="005C50CD">
      <w:pPr>
        <w:pStyle w:val="ECHRPara"/>
        <w:rPr>
          <w:lang w:val="fr-FR"/>
        </w:rPr>
      </w:pPr>
      <w:r w:rsidRPr="005C50CD">
        <w:rPr>
          <w:lang w:val="fr-FR"/>
        </w:rPr>
        <w:lastRenderedPageBreak/>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25</w:t>
      </w:r>
      <w:r w:rsidRPr="005C50CD">
        <w:rPr>
          <w:lang w:val="fr-FR"/>
        </w:rPr>
        <w:fldChar w:fldCharType="end"/>
      </w:r>
      <w:r w:rsidRPr="005C50CD">
        <w:rPr>
          <w:lang w:val="fr-FR"/>
        </w:rPr>
        <w:t>.  Le 10 mai 2016, la cour administrative d</w:t>
      </w:r>
      <w:r w:rsidR="005C50CD" w:rsidRPr="005C50CD">
        <w:rPr>
          <w:lang w:val="fr-FR"/>
        </w:rPr>
        <w:t>’</w:t>
      </w:r>
      <w:r w:rsidRPr="005C50CD">
        <w:rPr>
          <w:lang w:val="fr-FR"/>
        </w:rPr>
        <w:t>appel, statuant sur appel du requérant, confirma le jugement du 6 décembre 2014.</w:t>
      </w:r>
      <w:r w:rsidR="00891841" w:rsidRPr="005C50CD">
        <w:rPr>
          <w:lang w:val="fr-FR"/>
        </w:rPr>
        <w:t xml:space="preserve"> </w:t>
      </w:r>
      <w:r w:rsidRPr="005C50CD">
        <w:rPr>
          <w:lang w:val="fr-FR"/>
        </w:rPr>
        <w:t>S</w:t>
      </w:r>
      <w:r w:rsidR="005C50CD" w:rsidRPr="005C50CD">
        <w:rPr>
          <w:lang w:val="fr-FR"/>
        </w:rPr>
        <w:t>’</w:t>
      </w:r>
      <w:r w:rsidRPr="005C50CD">
        <w:rPr>
          <w:lang w:val="fr-FR"/>
        </w:rPr>
        <w:t>agissant des risques tirés de l</w:t>
      </w:r>
      <w:r w:rsidR="005C50CD" w:rsidRPr="005C50CD">
        <w:rPr>
          <w:lang w:val="fr-FR"/>
        </w:rPr>
        <w:t>’</w:t>
      </w:r>
      <w:r w:rsidRPr="005C50CD">
        <w:rPr>
          <w:lang w:val="fr-FR"/>
        </w:rPr>
        <w:t>article 3 de la Convention, elle jugea que « le témoignage écrit du père du requérant, le certificat d</w:t>
      </w:r>
      <w:r w:rsidR="005C50CD" w:rsidRPr="005C50CD">
        <w:rPr>
          <w:lang w:val="fr-FR"/>
        </w:rPr>
        <w:t>’</w:t>
      </w:r>
      <w:r w:rsidRPr="005C50CD">
        <w:rPr>
          <w:lang w:val="fr-FR"/>
        </w:rPr>
        <w:t>un psychiatre mentionnant un état traumatique et la lettre traduite de l</w:t>
      </w:r>
      <w:r w:rsidR="005C50CD" w:rsidRPr="005C50CD">
        <w:rPr>
          <w:lang w:val="fr-FR"/>
        </w:rPr>
        <w:t>’</w:t>
      </w:r>
      <w:r w:rsidRPr="005C50CD">
        <w:rPr>
          <w:lang w:val="fr-FR"/>
        </w:rPr>
        <w:t>agence « Objectiv », agence indépendante d</w:t>
      </w:r>
      <w:r w:rsidR="005C50CD" w:rsidRPr="005C50CD">
        <w:rPr>
          <w:lang w:val="fr-FR"/>
        </w:rPr>
        <w:t>’</w:t>
      </w:r>
      <w:r w:rsidRPr="005C50CD">
        <w:rPr>
          <w:lang w:val="fr-FR"/>
        </w:rPr>
        <w:t>information et d</w:t>
      </w:r>
      <w:r w:rsidR="005C50CD" w:rsidRPr="005C50CD">
        <w:rPr>
          <w:lang w:val="fr-FR"/>
        </w:rPr>
        <w:t>’</w:t>
      </w:r>
      <w:r w:rsidRPr="005C50CD">
        <w:rPr>
          <w:lang w:val="fr-FR"/>
        </w:rPr>
        <w:t>analyse située à Grozny, ne sauraient suffire à établir la réalité d</w:t>
      </w:r>
      <w:r w:rsidR="005C50CD" w:rsidRPr="005C50CD">
        <w:rPr>
          <w:lang w:val="fr-FR"/>
        </w:rPr>
        <w:t>’</w:t>
      </w:r>
      <w:r w:rsidRPr="005C50CD">
        <w:rPr>
          <w:lang w:val="fr-FR"/>
        </w:rPr>
        <w:t>une menace personnelle en cas de retour en Russie alors, par ailleurs, que la demande d</w:t>
      </w:r>
      <w:r w:rsidR="005C50CD" w:rsidRPr="005C50CD">
        <w:rPr>
          <w:lang w:val="fr-FR"/>
        </w:rPr>
        <w:t>’</w:t>
      </w:r>
      <w:r w:rsidRPr="005C50CD">
        <w:rPr>
          <w:lang w:val="fr-FR"/>
        </w:rPr>
        <w:t>asile formulée par l</w:t>
      </w:r>
      <w:r w:rsidR="005C50CD" w:rsidRPr="005C50CD">
        <w:rPr>
          <w:lang w:val="fr-FR"/>
        </w:rPr>
        <w:t>’</w:t>
      </w:r>
      <w:r w:rsidRPr="005C50CD">
        <w:rPr>
          <w:lang w:val="fr-FR"/>
        </w:rPr>
        <w:t>intéressé a été rejetée à deux reprises par l</w:t>
      </w:r>
      <w:r w:rsidR="005C50CD" w:rsidRPr="005C50CD">
        <w:rPr>
          <w:lang w:val="fr-FR"/>
        </w:rPr>
        <w:t>’</w:t>
      </w:r>
      <w:r w:rsidRPr="005C50CD">
        <w:rPr>
          <w:lang w:val="fr-FR"/>
        </w:rPr>
        <w:t>Office français de protection des réfugiés et apatrides et par la Cour nationale du droit d</w:t>
      </w:r>
      <w:r w:rsidR="005C50CD" w:rsidRPr="005C50CD">
        <w:rPr>
          <w:lang w:val="fr-FR"/>
        </w:rPr>
        <w:t>’</w:t>
      </w:r>
      <w:r w:rsidRPr="005C50CD">
        <w:rPr>
          <w:lang w:val="fr-FR"/>
        </w:rPr>
        <w:t>asile ».</w:t>
      </w:r>
    </w:p>
    <w:p w:rsidR="00E77CB3" w:rsidRPr="005C50CD" w:rsidRDefault="00E77CB3" w:rsidP="005C50CD">
      <w:pPr>
        <w:pStyle w:val="ECHRHeading1"/>
        <w:numPr>
          <w:ilvl w:val="0"/>
          <w:numId w:val="0"/>
        </w:numPr>
        <w:ind w:left="357" w:hanging="357"/>
        <w:rPr>
          <w:lang w:val="fr-FR"/>
        </w:rPr>
      </w:pPr>
      <w:r w:rsidRPr="005C50CD">
        <w:rPr>
          <w:lang w:val="fr-FR"/>
        </w:rPr>
        <w:t>II.  </w:t>
      </w:r>
      <w:r w:rsidR="00E87441" w:rsidRPr="005C50CD">
        <w:rPr>
          <w:lang w:val="fr-FR"/>
        </w:rPr>
        <w:t>DONN</w:t>
      </w:r>
      <w:r w:rsidR="00EC2A52" w:rsidRPr="005C50CD">
        <w:rPr>
          <w:rFonts w:cs="Cambria"/>
          <w:lang w:val="fr-FR"/>
        </w:rPr>
        <w:t>É</w:t>
      </w:r>
      <w:r w:rsidR="00E87441" w:rsidRPr="005C50CD">
        <w:rPr>
          <w:lang w:val="fr-FR"/>
        </w:rPr>
        <w:t>ES INTERNATIONALES</w:t>
      </w:r>
    </w:p>
    <w:p w:rsidR="005C50CD" w:rsidRPr="005C50CD" w:rsidRDefault="00EC2A52"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26</w:t>
      </w:r>
      <w:r w:rsidRPr="005C50CD">
        <w:rPr>
          <w:lang w:val="fr-FR"/>
        </w:rPr>
        <w:fldChar w:fldCharType="end"/>
      </w:r>
      <w:r w:rsidRPr="005C50CD">
        <w:rPr>
          <w:lang w:val="fr-FR"/>
        </w:rPr>
        <w:t>.  </w:t>
      </w:r>
      <w:r w:rsidR="00E87441" w:rsidRPr="005C50CD">
        <w:rPr>
          <w:lang w:val="fr-FR"/>
        </w:rPr>
        <w:t>Il est renvoyé à cet égard aux données internationales recensées dans l</w:t>
      </w:r>
      <w:r w:rsidR="005C50CD" w:rsidRPr="005C50CD">
        <w:rPr>
          <w:lang w:val="fr-FR"/>
        </w:rPr>
        <w:t>’</w:t>
      </w:r>
      <w:r w:rsidR="00E87441" w:rsidRPr="005C50CD">
        <w:rPr>
          <w:lang w:val="fr-FR"/>
        </w:rPr>
        <w:t xml:space="preserve">arrêt </w:t>
      </w:r>
      <w:r w:rsidR="00E87441" w:rsidRPr="005C50CD">
        <w:rPr>
          <w:i/>
          <w:iCs/>
          <w:lang w:val="fr-FR"/>
        </w:rPr>
        <w:t>M.V. et M.T. c. France</w:t>
      </w:r>
      <w:r w:rsidR="00E87441" w:rsidRPr="005C50CD">
        <w:rPr>
          <w:lang w:val="fr-FR"/>
        </w:rPr>
        <w:t xml:space="preserve"> (n</w:t>
      </w:r>
      <w:r w:rsidR="00E87441" w:rsidRPr="005C50CD">
        <w:rPr>
          <w:vertAlign w:val="superscript"/>
          <w:lang w:val="fr-FR"/>
        </w:rPr>
        <w:t xml:space="preserve">o </w:t>
      </w:r>
      <w:r w:rsidR="00E87441" w:rsidRPr="005C50CD">
        <w:rPr>
          <w:lang w:val="fr-FR"/>
        </w:rPr>
        <w:t>17897/09, §§ 23-25, 4 septembre 2014).</w:t>
      </w:r>
    </w:p>
    <w:p w:rsidR="00E87441" w:rsidRPr="005C50CD" w:rsidRDefault="00EC2A52" w:rsidP="005C50CD">
      <w:pPr>
        <w:pStyle w:val="ECHRPara"/>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27</w:t>
      </w:r>
      <w:r w:rsidRPr="005C50CD">
        <w:rPr>
          <w:lang w:val="fr-FR"/>
        </w:rPr>
        <w:fldChar w:fldCharType="end"/>
      </w:r>
      <w:r w:rsidRPr="005C50CD">
        <w:rPr>
          <w:lang w:val="fr-FR"/>
        </w:rPr>
        <w:t>.  </w:t>
      </w:r>
      <w:r w:rsidR="00E87441" w:rsidRPr="005C50CD">
        <w:rPr>
          <w:lang w:val="fr-FR"/>
        </w:rPr>
        <w:t xml:space="preserve">Les données plus récentes disponibles confirment que la situation dans la région du Nord Caucase demeure très instable en raison des conflits persistants entre les forces gouvernementales et les membres de la lutte armée de résistance tchétchène. </w:t>
      </w:r>
      <w:r w:rsidR="00E87441" w:rsidRPr="005C50CD">
        <w:t>Dans un rapport intitulé “</w:t>
      </w:r>
      <w:r w:rsidR="00E87441" w:rsidRPr="005C50CD">
        <w:rPr>
          <w:i/>
          <w:iCs/>
        </w:rPr>
        <w:t>United Kingdom: Foreign and Commonwealth Office, Hu</w:t>
      </w:r>
      <w:r w:rsidR="00EC494D" w:rsidRPr="005C50CD">
        <w:rPr>
          <w:i/>
          <w:iCs/>
        </w:rPr>
        <w:t>ma</w:t>
      </w:r>
      <w:r w:rsidR="005C50CD" w:rsidRPr="005C50CD">
        <w:rPr>
          <w:i/>
          <w:iCs/>
        </w:rPr>
        <w:t>n Rights and Democracy Report –</w:t>
      </w:r>
      <w:r w:rsidR="00E87441" w:rsidRPr="005C50CD">
        <w:rPr>
          <w:i/>
          <w:iCs/>
        </w:rPr>
        <w:t>Russia</w:t>
      </w:r>
      <w:r w:rsidR="00E87441" w:rsidRPr="005C50CD">
        <w:t xml:space="preserve">” publié le 12 mars 2015, le </w:t>
      </w:r>
      <w:r w:rsidR="00E87441" w:rsidRPr="005C50CD">
        <w:rPr>
          <w:i/>
          <w:iCs/>
        </w:rPr>
        <w:t>Foreign and Commonwealth Office</w:t>
      </w:r>
      <w:r w:rsidR="00E87441" w:rsidRPr="005C50CD">
        <w:t xml:space="preserve"> britannique relève :</w:t>
      </w:r>
    </w:p>
    <w:p w:rsidR="00E87441" w:rsidRPr="005C50CD" w:rsidRDefault="00E87441" w:rsidP="005C50CD">
      <w:pPr>
        <w:pStyle w:val="ECHRParaQuote"/>
      </w:pPr>
      <w:r w:rsidRPr="005C50CD">
        <w:t>“There were also reports of grave human rights violations committed by state security forces, including allegations of extrajudicial killings, torture and disappearances</w:t>
      </w:r>
      <w:r w:rsidR="00937330" w:rsidRPr="005C50CD">
        <w:t xml:space="preserve"> (</w:t>
      </w:r>
      <w:r w:rsidR="00AE19D6" w:rsidRPr="005C50CD">
        <w:t>...</w:t>
      </w:r>
      <w:r w:rsidR="00937330" w:rsidRPr="005C50CD">
        <w:t>)</w:t>
      </w:r>
      <w:r w:rsidRPr="005C50CD">
        <w:t>”</w:t>
      </w:r>
    </w:p>
    <w:p w:rsidR="00E87441" w:rsidRPr="005C50CD" w:rsidRDefault="00E87441" w:rsidP="005C50CD">
      <w:pPr>
        <w:pStyle w:val="ECHRPara"/>
        <w:rPr>
          <w:lang w:val="fr-FR"/>
        </w:rPr>
      </w:pPr>
      <w:r w:rsidRPr="005C50CD">
        <w:rPr>
          <w:lang w:val="fr-FR"/>
        </w:rPr>
        <w:t>De même, le Département d</w:t>
      </w:r>
      <w:r w:rsidR="005C50CD" w:rsidRPr="005C50CD">
        <w:rPr>
          <w:lang w:val="fr-FR"/>
        </w:rPr>
        <w:t>’</w:t>
      </w:r>
      <w:r w:rsidRPr="005C50CD">
        <w:rPr>
          <w:lang w:val="fr-FR"/>
        </w:rPr>
        <w:t xml:space="preserve">État américain, dans son </w:t>
      </w:r>
      <w:r w:rsidRPr="005C50CD">
        <w:rPr>
          <w:i/>
          <w:iCs/>
          <w:lang w:val="fr-FR"/>
        </w:rPr>
        <w:t>United States Country Reports on Human Rights Practices – Russia</w:t>
      </w:r>
      <w:r w:rsidR="004614E6" w:rsidRPr="005C50CD">
        <w:rPr>
          <w:lang w:val="fr-FR"/>
        </w:rPr>
        <w:t>, publié le 27</w:t>
      </w:r>
      <w:r w:rsidR="00EC494D" w:rsidRPr="005C50CD">
        <w:rPr>
          <w:lang w:val="fr-FR"/>
        </w:rPr>
        <w:t> </w:t>
      </w:r>
      <w:r w:rsidR="004614E6" w:rsidRPr="005C50CD">
        <w:rPr>
          <w:lang w:val="fr-FR"/>
        </w:rPr>
        <w:t>février 2015</w:t>
      </w:r>
      <w:r w:rsidRPr="005C50CD">
        <w:rPr>
          <w:lang w:val="fr-FR"/>
        </w:rPr>
        <w:t xml:space="preserve"> note :</w:t>
      </w:r>
    </w:p>
    <w:p w:rsidR="00E87441" w:rsidRPr="005C50CD" w:rsidRDefault="00E87441" w:rsidP="005C50CD">
      <w:pPr>
        <w:pStyle w:val="ECHRParaQuote"/>
        <w:rPr>
          <w:lang w:val="en"/>
        </w:rPr>
      </w:pPr>
      <w:r w:rsidRPr="005C50CD">
        <w:rPr>
          <w:lang w:val="en"/>
        </w:rPr>
        <w:t>“The government failed to take adequate steps to prosecute or punish most officials who committed abuses, resulting in a climate of impunity. Rule of law was particularly deficient in the North Caucasus, where conflict among government forces, insurgents, Islamist militants, and criminal forces led to numerous human rights abuses, including killings, torture, physical abuse, and po</w:t>
      </w:r>
      <w:r w:rsidR="004614E6" w:rsidRPr="005C50CD">
        <w:rPr>
          <w:lang w:val="en"/>
        </w:rPr>
        <w:t>litically motivated abductions.</w:t>
      </w:r>
    </w:p>
    <w:p w:rsidR="00E87441" w:rsidRPr="005C50CD" w:rsidRDefault="00E87441" w:rsidP="005C50CD">
      <w:pPr>
        <w:pStyle w:val="ECHRParaQuote"/>
        <w:rPr>
          <w:lang w:val="en"/>
        </w:rPr>
      </w:pPr>
      <w:r w:rsidRPr="005C50CD">
        <w:rPr>
          <w:lang w:val="en"/>
        </w:rPr>
        <w:t>(</w:t>
      </w:r>
      <w:r w:rsidR="00AE19D6" w:rsidRPr="005C50CD">
        <w:rPr>
          <w:lang w:val="en"/>
        </w:rPr>
        <w:t>...</w:t>
      </w:r>
      <w:r w:rsidRPr="005C50CD">
        <w:rPr>
          <w:lang w:val="en"/>
        </w:rPr>
        <w:t>)</w:t>
      </w:r>
    </w:p>
    <w:p w:rsidR="00E87441" w:rsidRPr="005C50CD" w:rsidRDefault="00E87441" w:rsidP="005C50CD">
      <w:pPr>
        <w:pStyle w:val="ECHRParaQuote"/>
        <w:rPr>
          <w:lang w:val="en"/>
        </w:rPr>
      </w:pPr>
      <w:r w:rsidRPr="005C50CD">
        <w:rPr>
          <w:lang w:val="en"/>
        </w:rPr>
        <w:t>Government forces engaged in the conflict in the North Caucasus reportedly tortured and otherwise mistreated civilians and participants in t</w:t>
      </w:r>
      <w:r w:rsidR="00EC494D" w:rsidRPr="005C50CD">
        <w:rPr>
          <w:lang w:val="en"/>
        </w:rPr>
        <w:t>he conflict (see section </w:t>
      </w:r>
      <w:r w:rsidR="004614E6" w:rsidRPr="005C50CD">
        <w:rPr>
          <w:lang w:val="en"/>
        </w:rPr>
        <w:t>1.g.).</w:t>
      </w:r>
    </w:p>
    <w:p w:rsidR="00E87441" w:rsidRPr="005C50CD" w:rsidRDefault="00E87441" w:rsidP="005C50CD">
      <w:pPr>
        <w:pStyle w:val="ECHRParaQuote"/>
        <w:rPr>
          <w:lang w:val="en"/>
        </w:rPr>
      </w:pPr>
      <w:r w:rsidRPr="005C50CD">
        <w:rPr>
          <w:lang w:val="en"/>
        </w:rPr>
        <w:t>(</w:t>
      </w:r>
      <w:r w:rsidR="00AE19D6" w:rsidRPr="005C50CD">
        <w:rPr>
          <w:lang w:val="en"/>
        </w:rPr>
        <w:t>...</w:t>
      </w:r>
      <w:r w:rsidRPr="005C50CD">
        <w:rPr>
          <w:lang w:val="en"/>
        </w:rPr>
        <w:t>)</w:t>
      </w:r>
    </w:p>
    <w:p w:rsidR="00E77CB3" w:rsidRPr="005C50CD" w:rsidRDefault="00E87441" w:rsidP="005C50CD">
      <w:pPr>
        <w:pStyle w:val="ECHRParaQuote"/>
        <w:rPr>
          <w:lang w:val="en"/>
        </w:rPr>
      </w:pPr>
      <w:r w:rsidRPr="005C50CD">
        <w:rPr>
          <w:lang w:val="en"/>
        </w:rPr>
        <w:t>Politically motivated disappearances in connection with the conflict in the Northern Caucasus continued (see section 1.g.)</w:t>
      </w:r>
      <w:r w:rsidR="00937330" w:rsidRPr="005C50CD">
        <w:rPr>
          <w:lang w:val="en"/>
        </w:rPr>
        <w:t>.</w:t>
      </w:r>
      <w:r w:rsidRPr="005C50CD">
        <w:rPr>
          <w:lang w:val="en"/>
        </w:rPr>
        <w:t>”</w:t>
      </w:r>
    </w:p>
    <w:p w:rsidR="004614E6" w:rsidRPr="005C50CD" w:rsidRDefault="00E77CB3" w:rsidP="005C50CD">
      <w:pPr>
        <w:pStyle w:val="ECHRTitle1"/>
        <w:rPr>
          <w:lang w:val="fr-FR"/>
        </w:rPr>
      </w:pPr>
      <w:r w:rsidRPr="005C50CD">
        <w:rPr>
          <w:lang w:val="fr-FR"/>
        </w:rPr>
        <w:lastRenderedPageBreak/>
        <w:t>EN DROIT</w:t>
      </w:r>
    </w:p>
    <w:p w:rsidR="00E77CB3" w:rsidRPr="005C50CD" w:rsidRDefault="00ED1210" w:rsidP="005C50CD">
      <w:pPr>
        <w:pStyle w:val="ECHRHeading1"/>
        <w:numPr>
          <w:ilvl w:val="0"/>
          <w:numId w:val="0"/>
        </w:numPr>
        <w:ind w:left="357" w:hanging="357"/>
        <w:rPr>
          <w:lang w:val="fr-FR"/>
        </w:rPr>
      </w:pPr>
      <w:r w:rsidRPr="005C50CD">
        <w:rPr>
          <w:lang w:val="fr-FR"/>
        </w:rPr>
        <w:t>I</w:t>
      </w:r>
      <w:r w:rsidR="00E77CB3" w:rsidRPr="005C50CD">
        <w:rPr>
          <w:lang w:val="fr-FR"/>
        </w:rPr>
        <w:t>.  SUR LA VIOLATION ALLÉGUÉE DE L</w:t>
      </w:r>
      <w:r w:rsidR="005C50CD" w:rsidRPr="005C50CD">
        <w:rPr>
          <w:lang w:val="fr-FR"/>
        </w:rPr>
        <w:t>’</w:t>
      </w:r>
      <w:r w:rsidR="00E77CB3" w:rsidRPr="005C50CD">
        <w:rPr>
          <w:lang w:val="fr-FR"/>
        </w:rPr>
        <w:t xml:space="preserve">ARTICLE </w:t>
      </w:r>
      <w:r w:rsidRPr="005C50CD">
        <w:rPr>
          <w:lang w:val="fr-FR"/>
        </w:rPr>
        <w:t>3</w:t>
      </w:r>
      <w:r w:rsidR="00E77CB3" w:rsidRPr="005C50CD">
        <w:rPr>
          <w:lang w:val="fr-FR"/>
        </w:rPr>
        <w:t xml:space="preserve"> DE LA CONVENTION</w:t>
      </w:r>
    </w:p>
    <w:p w:rsidR="005C50CD" w:rsidRPr="005C50CD" w:rsidRDefault="009B4F3B"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28</w:t>
      </w:r>
      <w:r w:rsidRPr="005C50CD">
        <w:rPr>
          <w:lang w:val="fr-FR"/>
        </w:rPr>
        <w:fldChar w:fldCharType="end"/>
      </w:r>
      <w:r w:rsidRPr="005C50CD">
        <w:rPr>
          <w:lang w:val="fr-FR"/>
        </w:rPr>
        <w:t>.  </w:t>
      </w:r>
      <w:r w:rsidR="008D400B" w:rsidRPr="005C50CD">
        <w:rPr>
          <w:lang w:val="fr-FR"/>
        </w:rPr>
        <w:t>Le requérant</w:t>
      </w:r>
      <w:r w:rsidR="00E77CB3" w:rsidRPr="005C50CD">
        <w:rPr>
          <w:lang w:val="fr-FR"/>
        </w:rPr>
        <w:t xml:space="preserve"> allègue que </w:t>
      </w:r>
      <w:r w:rsidR="00ED1210" w:rsidRPr="005C50CD">
        <w:rPr>
          <w:lang w:val="fr-FR"/>
        </w:rPr>
        <w:t>la mise à exécution de la mesure de renvoi à son encontre l</w:t>
      </w:r>
      <w:r w:rsidR="005C50CD" w:rsidRPr="005C50CD">
        <w:rPr>
          <w:lang w:val="fr-FR"/>
        </w:rPr>
        <w:t>’</w:t>
      </w:r>
      <w:r w:rsidR="00ED1210" w:rsidRPr="005C50CD">
        <w:rPr>
          <w:lang w:val="fr-FR"/>
        </w:rPr>
        <w:t>exposerait à un risque de traitements contraires à l</w:t>
      </w:r>
      <w:r w:rsidR="005C50CD" w:rsidRPr="005C50CD">
        <w:rPr>
          <w:lang w:val="fr-FR"/>
        </w:rPr>
        <w:t>’</w:t>
      </w:r>
      <w:r w:rsidR="00EC494D" w:rsidRPr="005C50CD">
        <w:rPr>
          <w:lang w:val="fr-FR"/>
        </w:rPr>
        <w:t>article </w:t>
      </w:r>
      <w:r w:rsidR="00ED1210" w:rsidRPr="005C50CD">
        <w:rPr>
          <w:lang w:val="fr-FR"/>
        </w:rPr>
        <w:t>3 de la Convention, ainsi libellé :</w:t>
      </w:r>
    </w:p>
    <w:p w:rsidR="00ED1210" w:rsidRPr="005C50CD" w:rsidRDefault="00DE73EC" w:rsidP="005C50CD">
      <w:pPr>
        <w:pStyle w:val="ECHRParaQuote"/>
        <w:rPr>
          <w:lang w:val="fr-FR"/>
        </w:rPr>
      </w:pPr>
      <w:r w:rsidRPr="005C50CD">
        <w:rPr>
          <w:lang w:val="fr-FR"/>
        </w:rPr>
        <w:t>« </w:t>
      </w:r>
      <w:r w:rsidR="00ED1210" w:rsidRPr="005C50CD">
        <w:rPr>
          <w:lang w:val="fr-FR"/>
        </w:rPr>
        <w:t>Nul ne peut être soumis à la torture ni à des peines ou traite</w:t>
      </w:r>
      <w:r w:rsidRPr="005C50CD">
        <w:rPr>
          <w:lang w:val="fr-FR"/>
        </w:rPr>
        <w:t>ments inhumains ou dégradants. »</w:t>
      </w:r>
    </w:p>
    <w:p w:rsidR="00ED1210" w:rsidRPr="005C50CD" w:rsidRDefault="00ED1210" w:rsidP="005C50CD">
      <w:pPr>
        <w:pStyle w:val="ECHRHeading2"/>
        <w:numPr>
          <w:ilvl w:val="0"/>
          <w:numId w:val="0"/>
        </w:numPr>
        <w:ind w:left="584" w:hanging="352"/>
        <w:rPr>
          <w:lang w:val="fr-FR"/>
        </w:rPr>
      </w:pPr>
      <w:r w:rsidRPr="005C50CD">
        <w:rPr>
          <w:lang w:val="fr-FR"/>
        </w:rPr>
        <w:t>A</w:t>
      </w:r>
      <w:r w:rsidR="00DE73EC" w:rsidRPr="005C50CD">
        <w:rPr>
          <w:lang w:val="fr-FR"/>
        </w:rPr>
        <w:t>.  </w:t>
      </w:r>
      <w:r w:rsidRPr="005C50CD">
        <w:rPr>
          <w:lang w:val="fr-FR"/>
        </w:rPr>
        <w:t>Sur la recevabilité</w:t>
      </w:r>
    </w:p>
    <w:p w:rsidR="00ED1210" w:rsidRPr="005C50CD" w:rsidRDefault="00ED1210"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29</w:t>
      </w:r>
      <w:r w:rsidRPr="005C50CD">
        <w:rPr>
          <w:lang w:val="fr-FR"/>
        </w:rPr>
        <w:fldChar w:fldCharType="end"/>
      </w:r>
      <w:r w:rsidRPr="005C50CD">
        <w:rPr>
          <w:lang w:val="fr-FR"/>
        </w:rPr>
        <w:t>.  Le Gouvernement soutient, en premier lieu, que la requête est irrecevable pour défaut d</w:t>
      </w:r>
      <w:r w:rsidR="005C50CD" w:rsidRPr="005C50CD">
        <w:rPr>
          <w:lang w:val="fr-FR"/>
        </w:rPr>
        <w:t>’</w:t>
      </w:r>
      <w:r w:rsidRPr="005C50CD">
        <w:rPr>
          <w:lang w:val="fr-FR"/>
        </w:rPr>
        <w:t>épuisement des voies de recours internes. Il reproche au requérant de n</w:t>
      </w:r>
      <w:r w:rsidR="005C50CD" w:rsidRPr="005C50CD">
        <w:rPr>
          <w:lang w:val="fr-FR"/>
        </w:rPr>
        <w:t>’</w:t>
      </w:r>
      <w:r w:rsidRPr="005C50CD">
        <w:rPr>
          <w:lang w:val="fr-FR"/>
        </w:rPr>
        <w:t>avoir pas formé de pourvoi en cassation</w:t>
      </w:r>
      <w:r w:rsidR="00946825" w:rsidRPr="005C50CD">
        <w:rPr>
          <w:lang w:val="fr-FR"/>
        </w:rPr>
        <w:t xml:space="preserve"> devant le Conseil d</w:t>
      </w:r>
      <w:r w:rsidR="005C50CD" w:rsidRPr="005C50CD">
        <w:rPr>
          <w:lang w:val="fr-FR"/>
        </w:rPr>
        <w:t>’</w:t>
      </w:r>
      <w:r w:rsidR="00946825" w:rsidRPr="005C50CD">
        <w:rPr>
          <w:lang w:val="fr-FR"/>
        </w:rPr>
        <w:t>État</w:t>
      </w:r>
      <w:r w:rsidRPr="005C50CD">
        <w:rPr>
          <w:lang w:val="fr-FR"/>
        </w:rPr>
        <w:t xml:space="preserve"> contre les décisions de la</w:t>
      </w:r>
      <w:r w:rsidR="005C50CD" w:rsidRPr="005C50CD">
        <w:rPr>
          <w:lang w:val="fr-FR"/>
        </w:rPr>
        <w:t xml:space="preserve"> CNDA des 17 octobre 2011 et </w:t>
      </w:r>
      <w:r w:rsidR="00EC494D" w:rsidRPr="005C50CD">
        <w:rPr>
          <w:lang w:val="fr-FR"/>
        </w:rPr>
        <w:t>17 </w:t>
      </w:r>
      <w:r w:rsidRPr="005C50CD">
        <w:rPr>
          <w:lang w:val="fr-FR"/>
        </w:rPr>
        <w:t>avril 2014.</w:t>
      </w:r>
    </w:p>
    <w:p w:rsidR="005C50CD" w:rsidRPr="005C50CD" w:rsidRDefault="00ED1210"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30</w:t>
      </w:r>
      <w:r w:rsidRPr="005C50CD">
        <w:rPr>
          <w:lang w:val="fr-FR"/>
        </w:rPr>
        <w:fldChar w:fldCharType="end"/>
      </w:r>
      <w:r w:rsidRPr="005C50CD">
        <w:rPr>
          <w:lang w:val="fr-FR"/>
        </w:rPr>
        <w:t>.  Le Gouvernement fait ensuite valoir que la requête est prématurée, les recours contre la décision de l</w:t>
      </w:r>
      <w:r w:rsidR="005C50CD" w:rsidRPr="005C50CD">
        <w:rPr>
          <w:lang w:val="fr-FR"/>
        </w:rPr>
        <w:t>’</w:t>
      </w:r>
      <w:r w:rsidRPr="005C50CD">
        <w:rPr>
          <w:lang w:val="fr-FR"/>
        </w:rPr>
        <w:t>OFPRA du 18 décembre 2014 et contre le jugement du tribunal administratif du 6 décembre 2014 étant toujours pendants.</w:t>
      </w:r>
    </w:p>
    <w:p w:rsidR="005C50CD" w:rsidRPr="005C50CD" w:rsidRDefault="00ED1210"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31</w:t>
      </w:r>
      <w:r w:rsidRPr="005C50CD">
        <w:rPr>
          <w:lang w:val="fr-FR"/>
        </w:rPr>
        <w:fldChar w:fldCharType="end"/>
      </w:r>
      <w:r w:rsidRPr="005C50CD">
        <w:rPr>
          <w:lang w:val="fr-FR"/>
        </w:rPr>
        <w:t xml:space="preserve">.  Le requérant </w:t>
      </w:r>
      <w:r w:rsidR="00576B6F" w:rsidRPr="005C50CD">
        <w:rPr>
          <w:lang w:val="fr-FR"/>
        </w:rPr>
        <w:t>argue</w:t>
      </w:r>
      <w:r w:rsidRPr="005C50CD">
        <w:rPr>
          <w:lang w:val="fr-FR"/>
        </w:rPr>
        <w:t xml:space="preserve"> que, s</w:t>
      </w:r>
      <w:r w:rsidR="005C50CD" w:rsidRPr="005C50CD">
        <w:rPr>
          <w:lang w:val="fr-FR"/>
        </w:rPr>
        <w:t>’</w:t>
      </w:r>
      <w:r w:rsidRPr="005C50CD">
        <w:rPr>
          <w:lang w:val="fr-FR"/>
        </w:rPr>
        <w:t>agissant d</w:t>
      </w:r>
      <w:r w:rsidR="005C50CD" w:rsidRPr="005C50CD">
        <w:rPr>
          <w:lang w:val="fr-FR"/>
        </w:rPr>
        <w:t>’</w:t>
      </w:r>
      <w:r w:rsidRPr="005C50CD">
        <w:rPr>
          <w:lang w:val="fr-FR"/>
        </w:rPr>
        <w:t>une demande d</w:t>
      </w:r>
      <w:r w:rsidR="005C50CD" w:rsidRPr="005C50CD">
        <w:rPr>
          <w:lang w:val="fr-FR"/>
        </w:rPr>
        <w:t>’</w:t>
      </w:r>
      <w:r w:rsidRPr="005C50CD">
        <w:rPr>
          <w:lang w:val="fr-FR"/>
        </w:rPr>
        <w:t>asile et de griefs tirés de l</w:t>
      </w:r>
      <w:r w:rsidR="005C50CD" w:rsidRPr="005C50CD">
        <w:rPr>
          <w:lang w:val="fr-FR"/>
        </w:rPr>
        <w:t>’</w:t>
      </w:r>
      <w:r w:rsidRPr="005C50CD">
        <w:rPr>
          <w:lang w:val="fr-FR"/>
        </w:rPr>
        <w:t>article 3 de la Convention, un pourvoi devant le Conseil d</w:t>
      </w:r>
      <w:r w:rsidR="005C50CD" w:rsidRPr="005C50CD">
        <w:rPr>
          <w:lang w:val="fr-FR"/>
        </w:rPr>
        <w:t>’</w:t>
      </w:r>
      <w:r w:rsidRPr="005C50CD">
        <w:rPr>
          <w:lang w:val="fr-FR"/>
        </w:rPr>
        <w:t xml:space="preserve">État ne constitue pas un recours utile. </w:t>
      </w:r>
      <w:r w:rsidR="007B30DC" w:rsidRPr="005C50CD">
        <w:rPr>
          <w:lang w:val="fr-FR"/>
        </w:rPr>
        <w:t>Il souligne ens</w:t>
      </w:r>
      <w:r w:rsidR="00DE73EC" w:rsidRPr="005C50CD">
        <w:rPr>
          <w:lang w:val="fr-FR"/>
        </w:rPr>
        <w:t>uite que la CNDA a statué le 11 </w:t>
      </w:r>
      <w:r w:rsidR="007B30DC" w:rsidRPr="005C50CD">
        <w:rPr>
          <w:lang w:val="fr-FR"/>
        </w:rPr>
        <w:t>juin 2015 sur son recours contre la décision de l</w:t>
      </w:r>
      <w:r w:rsidR="005C50CD" w:rsidRPr="005C50CD">
        <w:rPr>
          <w:lang w:val="fr-FR"/>
        </w:rPr>
        <w:t>’</w:t>
      </w:r>
      <w:r w:rsidR="007B30DC" w:rsidRPr="005C50CD">
        <w:rPr>
          <w:lang w:val="fr-FR"/>
        </w:rPr>
        <w:t>OFPRA.</w:t>
      </w:r>
    </w:p>
    <w:p w:rsidR="00DE73EC"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32</w:t>
      </w:r>
      <w:r w:rsidRPr="005C50CD">
        <w:rPr>
          <w:lang w:val="fr-FR"/>
        </w:rPr>
        <w:fldChar w:fldCharType="end"/>
      </w:r>
      <w:r w:rsidRPr="005C50CD">
        <w:rPr>
          <w:lang w:val="fr-FR"/>
        </w:rPr>
        <w:t>.  La Cour rappelle que la règle de l</w:t>
      </w:r>
      <w:r w:rsidR="005C50CD" w:rsidRPr="005C50CD">
        <w:rPr>
          <w:lang w:val="fr-FR"/>
        </w:rPr>
        <w:t>’</w:t>
      </w:r>
      <w:r w:rsidRPr="005C50CD">
        <w:rPr>
          <w:lang w:val="fr-FR"/>
        </w:rPr>
        <w:t>épuisement des voies de recours internes énoncée à l</w:t>
      </w:r>
      <w:r w:rsidR="005C50CD" w:rsidRPr="005C50CD">
        <w:rPr>
          <w:lang w:val="fr-FR"/>
        </w:rPr>
        <w:t>’</w:t>
      </w:r>
      <w:r w:rsidRPr="005C50CD">
        <w:rPr>
          <w:lang w:val="fr-FR"/>
        </w:rPr>
        <w:t>article 35 § 1 de la Convention impose aux personnes désireuses d</w:t>
      </w:r>
      <w:r w:rsidR="005C50CD" w:rsidRPr="005C50CD">
        <w:rPr>
          <w:lang w:val="fr-FR"/>
        </w:rPr>
        <w:t>’</w:t>
      </w:r>
      <w:r w:rsidRPr="005C50CD">
        <w:rPr>
          <w:lang w:val="fr-FR"/>
        </w:rPr>
        <w:t>intenter une action devant la Cour l</w:t>
      </w:r>
      <w:r w:rsidR="005C50CD" w:rsidRPr="005C50CD">
        <w:rPr>
          <w:lang w:val="fr-FR"/>
        </w:rPr>
        <w:t>’</w:t>
      </w:r>
      <w:r w:rsidRPr="005C50CD">
        <w:rPr>
          <w:lang w:val="fr-FR"/>
        </w:rPr>
        <w:t>obligation d</w:t>
      </w:r>
      <w:r w:rsidR="005C50CD" w:rsidRPr="005C50CD">
        <w:rPr>
          <w:lang w:val="fr-FR"/>
        </w:rPr>
        <w:t>’</w:t>
      </w:r>
      <w:r w:rsidRPr="005C50CD">
        <w:rPr>
          <w:lang w:val="fr-FR"/>
        </w:rPr>
        <w:t>utiliser auparavant les recours qui sont normalement disponibles dans le système juridique de leur pays et suffisants pour leur permettre d</w:t>
      </w:r>
      <w:r w:rsidR="005C50CD" w:rsidRPr="005C50CD">
        <w:rPr>
          <w:lang w:val="fr-FR"/>
        </w:rPr>
        <w:t>’</w:t>
      </w:r>
      <w:r w:rsidRPr="005C50CD">
        <w:rPr>
          <w:lang w:val="fr-FR"/>
        </w:rPr>
        <w:t>obtenir le redressement des violations qu</w:t>
      </w:r>
      <w:r w:rsidR="005C50CD" w:rsidRPr="005C50CD">
        <w:rPr>
          <w:lang w:val="fr-FR"/>
        </w:rPr>
        <w:t>’</w:t>
      </w:r>
      <w:r w:rsidRPr="005C50CD">
        <w:rPr>
          <w:lang w:val="fr-FR"/>
        </w:rPr>
        <w:t>elles allèguent. Ces recours doivent exister à un degré suffisant de certitude, en pratique comme en théorie, sans quoi leur manquent l</w:t>
      </w:r>
      <w:r w:rsidR="005C50CD" w:rsidRPr="005C50CD">
        <w:rPr>
          <w:lang w:val="fr-FR"/>
        </w:rPr>
        <w:t>’</w:t>
      </w:r>
      <w:r w:rsidRPr="005C50CD">
        <w:rPr>
          <w:lang w:val="fr-FR"/>
        </w:rPr>
        <w:t>effectivité et l</w:t>
      </w:r>
      <w:r w:rsidR="005C50CD" w:rsidRPr="005C50CD">
        <w:rPr>
          <w:lang w:val="fr-FR"/>
        </w:rPr>
        <w:t>’</w:t>
      </w:r>
      <w:r w:rsidRPr="005C50CD">
        <w:rPr>
          <w:lang w:val="fr-FR"/>
        </w:rPr>
        <w:t>accessibilité voulues. L</w:t>
      </w:r>
      <w:r w:rsidR="005C50CD" w:rsidRPr="005C50CD">
        <w:rPr>
          <w:lang w:val="fr-FR"/>
        </w:rPr>
        <w:t>’</w:t>
      </w:r>
      <w:r w:rsidRPr="005C50CD">
        <w:rPr>
          <w:lang w:val="fr-FR"/>
        </w:rPr>
        <w:t>article 35 § 1 impose aussi de soulever devant l</w:t>
      </w:r>
      <w:r w:rsidR="005C50CD" w:rsidRPr="005C50CD">
        <w:rPr>
          <w:lang w:val="fr-FR"/>
        </w:rPr>
        <w:t>’</w:t>
      </w:r>
      <w:r w:rsidRPr="005C50CD">
        <w:rPr>
          <w:lang w:val="fr-FR"/>
        </w:rPr>
        <w:t>organe interne adéquat, au moins en substance et dans les formes prescrites par le droit interne, les griefs que l</w:t>
      </w:r>
      <w:r w:rsidR="005C50CD" w:rsidRPr="005C50CD">
        <w:rPr>
          <w:lang w:val="fr-FR"/>
        </w:rPr>
        <w:t>’</w:t>
      </w:r>
      <w:r w:rsidRPr="005C50CD">
        <w:rPr>
          <w:lang w:val="fr-FR"/>
        </w:rPr>
        <w:t>on entend formuler par la suite, mais il n</w:t>
      </w:r>
      <w:r w:rsidR="005C50CD" w:rsidRPr="005C50CD">
        <w:rPr>
          <w:lang w:val="fr-FR"/>
        </w:rPr>
        <w:t>’</w:t>
      </w:r>
      <w:r w:rsidRPr="005C50CD">
        <w:rPr>
          <w:lang w:val="fr-FR"/>
        </w:rPr>
        <w:t>impose pas d</w:t>
      </w:r>
      <w:r w:rsidR="005C50CD" w:rsidRPr="005C50CD">
        <w:rPr>
          <w:lang w:val="fr-FR"/>
        </w:rPr>
        <w:t>’</w:t>
      </w:r>
      <w:r w:rsidRPr="005C50CD">
        <w:rPr>
          <w:lang w:val="fr-FR"/>
        </w:rPr>
        <w:t xml:space="preserve">user de recours qui sont inadéquats ou ineffectifs (voir </w:t>
      </w:r>
      <w:r w:rsidR="00DE73EC" w:rsidRPr="005C50CD">
        <w:rPr>
          <w:i/>
          <w:lang w:val="fr-FR"/>
        </w:rPr>
        <w:t>Aksoy c. Turquie</w:t>
      </w:r>
      <w:r w:rsidR="00DE73EC" w:rsidRPr="005C50CD">
        <w:rPr>
          <w:lang w:val="fr-FR"/>
        </w:rPr>
        <w:t>, 18 décembre 1996, §§ 51</w:t>
      </w:r>
      <w:r w:rsidR="00DE73EC" w:rsidRPr="005C50CD">
        <w:rPr>
          <w:lang w:val="fr-FR"/>
        </w:rPr>
        <w:noBreakHyphen/>
        <w:t xml:space="preserve">52, </w:t>
      </w:r>
      <w:r w:rsidR="00DE73EC" w:rsidRPr="005C50CD">
        <w:rPr>
          <w:i/>
          <w:lang w:val="fr-FR"/>
        </w:rPr>
        <w:t>Recueil des arrêts et décisions</w:t>
      </w:r>
      <w:r w:rsidR="00DE73EC" w:rsidRPr="005C50CD">
        <w:rPr>
          <w:lang w:val="fr-FR"/>
        </w:rPr>
        <w:t xml:space="preserve"> 1996</w:t>
      </w:r>
      <w:r w:rsidR="00DE73EC" w:rsidRPr="005C50CD">
        <w:rPr>
          <w:lang w:val="fr-FR"/>
        </w:rPr>
        <w:noBreakHyphen/>
        <w:t xml:space="preserve">VI, </w:t>
      </w:r>
      <w:r w:rsidR="00DE73EC" w:rsidRPr="005C50CD">
        <w:rPr>
          <w:i/>
          <w:lang w:val="fr-FR"/>
        </w:rPr>
        <w:t>Akdivar et autres c. Turquie</w:t>
      </w:r>
      <w:r w:rsidR="00DE73EC" w:rsidRPr="005C50CD">
        <w:rPr>
          <w:lang w:val="fr-FR"/>
        </w:rPr>
        <w:t xml:space="preserve">, 16 septembre 1996, §§ 65-67, </w:t>
      </w:r>
      <w:r w:rsidR="00DE73EC" w:rsidRPr="005C50CD">
        <w:rPr>
          <w:i/>
          <w:lang w:val="fr-FR"/>
        </w:rPr>
        <w:t xml:space="preserve">Recueil </w:t>
      </w:r>
      <w:r w:rsidR="00DE73EC" w:rsidRPr="005C50CD">
        <w:rPr>
          <w:lang w:val="fr-FR"/>
        </w:rPr>
        <w:t>1996</w:t>
      </w:r>
      <w:r w:rsidR="00DE73EC" w:rsidRPr="005C50CD">
        <w:rPr>
          <w:lang w:val="fr-FR"/>
        </w:rPr>
        <w:noBreakHyphen/>
        <w:t xml:space="preserve">IV, et </w:t>
      </w:r>
      <w:r w:rsidR="00DE73EC" w:rsidRPr="005C50CD">
        <w:rPr>
          <w:i/>
          <w:lang w:val="fr-FR"/>
        </w:rPr>
        <w:t>Khachiev et Akaïeva c. Russie</w:t>
      </w:r>
      <w:r w:rsidR="00DE73EC" w:rsidRPr="005C50CD">
        <w:rPr>
          <w:lang w:val="fr-FR"/>
        </w:rPr>
        <w:t>, n</w:t>
      </w:r>
      <w:r w:rsidR="00DE73EC" w:rsidRPr="005C50CD">
        <w:rPr>
          <w:vertAlign w:val="superscript"/>
          <w:lang w:val="fr-FR"/>
        </w:rPr>
        <w:t>os</w:t>
      </w:r>
      <w:r w:rsidR="005C50CD" w:rsidRPr="005C50CD">
        <w:rPr>
          <w:lang w:val="fr-FR"/>
        </w:rPr>
        <w:t xml:space="preserve"> 57942/00 et </w:t>
      </w:r>
      <w:r w:rsidR="00DE73EC" w:rsidRPr="005C50CD">
        <w:rPr>
          <w:lang w:val="fr-FR"/>
        </w:rPr>
        <w:t>57945/00, § 116, 24 février 2005).</w:t>
      </w:r>
    </w:p>
    <w:p w:rsidR="005C50CD"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33</w:t>
      </w:r>
      <w:r w:rsidRPr="005C50CD">
        <w:rPr>
          <w:lang w:val="fr-FR"/>
        </w:rPr>
        <w:fldChar w:fldCharType="end"/>
      </w:r>
      <w:r w:rsidRPr="005C50CD">
        <w:rPr>
          <w:lang w:val="fr-FR"/>
        </w:rPr>
        <w:t>.  Par ailleurs, lorsqu</w:t>
      </w:r>
      <w:r w:rsidR="005C50CD" w:rsidRPr="005C50CD">
        <w:rPr>
          <w:lang w:val="fr-FR"/>
        </w:rPr>
        <w:t>’</w:t>
      </w:r>
      <w:r w:rsidRPr="005C50CD">
        <w:rPr>
          <w:lang w:val="fr-FR"/>
        </w:rPr>
        <w:t>il s</w:t>
      </w:r>
      <w:r w:rsidR="005C50CD" w:rsidRPr="005C50CD">
        <w:rPr>
          <w:lang w:val="fr-FR"/>
        </w:rPr>
        <w:t>’</w:t>
      </w:r>
      <w:r w:rsidRPr="005C50CD">
        <w:rPr>
          <w:lang w:val="fr-FR"/>
        </w:rPr>
        <w:t>agit d</w:t>
      </w:r>
      <w:r w:rsidR="005C50CD" w:rsidRPr="005C50CD">
        <w:rPr>
          <w:lang w:val="fr-FR"/>
        </w:rPr>
        <w:t>’</w:t>
      </w:r>
      <w:r w:rsidRPr="005C50CD">
        <w:rPr>
          <w:lang w:val="fr-FR"/>
        </w:rPr>
        <w:t>un grief selon lequel l</w:t>
      </w:r>
      <w:r w:rsidR="005C50CD" w:rsidRPr="005C50CD">
        <w:rPr>
          <w:lang w:val="fr-FR"/>
        </w:rPr>
        <w:t>’</w:t>
      </w:r>
      <w:r w:rsidRPr="005C50CD">
        <w:rPr>
          <w:lang w:val="fr-FR"/>
        </w:rPr>
        <w:t>expulsion de l</w:t>
      </w:r>
      <w:r w:rsidR="005C50CD" w:rsidRPr="005C50CD">
        <w:rPr>
          <w:lang w:val="fr-FR"/>
        </w:rPr>
        <w:t>’</w:t>
      </w:r>
      <w:r w:rsidRPr="005C50CD">
        <w:rPr>
          <w:lang w:val="fr-FR"/>
        </w:rPr>
        <w:t>intéressé l</w:t>
      </w:r>
      <w:r w:rsidR="005C50CD" w:rsidRPr="005C50CD">
        <w:rPr>
          <w:lang w:val="fr-FR"/>
        </w:rPr>
        <w:t>’</w:t>
      </w:r>
      <w:r w:rsidRPr="005C50CD">
        <w:rPr>
          <w:lang w:val="fr-FR"/>
        </w:rPr>
        <w:t xml:space="preserve">exposerait à un risque réel de subir un traitement contraire à </w:t>
      </w:r>
      <w:r w:rsidRPr="005C50CD">
        <w:rPr>
          <w:lang w:val="fr-FR"/>
        </w:rPr>
        <w:lastRenderedPageBreak/>
        <w:t>l</w:t>
      </w:r>
      <w:r w:rsidR="005C50CD" w:rsidRPr="005C50CD">
        <w:rPr>
          <w:lang w:val="fr-FR"/>
        </w:rPr>
        <w:t>’</w:t>
      </w:r>
      <w:r w:rsidR="00E4155E" w:rsidRPr="005C50CD">
        <w:rPr>
          <w:lang w:val="fr-FR"/>
        </w:rPr>
        <w:t>article </w:t>
      </w:r>
      <w:r w:rsidRPr="005C50CD">
        <w:rPr>
          <w:lang w:val="fr-FR"/>
        </w:rPr>
        <w:t>3 de la Convention, compte tenu de l</w:t>
      </w:r>
      <w:r w:rsidR="005C50CD" w:rsidRPr="005C50CD">
        <w:rPr>
          <w:lang w:val="fr-FR"/>
        </w:rPr>
        <w:t>’</w:t>
      </w:r>
      <w:r w:rsidRPr="005C50CD">
        <w:rPr>
          <w:lang w:val="fr-FR"/>
        </w:rPr>
        <w:t>importance que la Cour attache à cette disposition et de la nature irréversible du dommage susceptible d</w:t>
      </w:r>
      <w:r w:rsidR="005C50CD" w:rsidRPr="005C50CD">
        <w:rPr>
          <w:lang w:val="fr-FR"/>
        </w:rPr>
        <w:t>’</w:t>
      </w:r>
      <w:r w:rsidRPr="005C50CD">
        <w:rPr>
          <w:lang w:val="fr-FR"/>
        </w:rPr>
        <w:t>être causé en cas de réalisation du risque de torture ou de mauvais traitements, l</w:t>
      </w:r>
      <w:r w:rsidR="005C50CD" w:rsidRPr="005C50CD">
        <w:rPr>
          <w:lang w:val="fr-FR"/>
        </w:rPr>
        <w:t>’</w:t>
      </w:r>
      <w:r w:rsidRPr="005C50CD">
        <w:rPr>
          <w:lang w:val="fr-FR"/>
        </w:rPr>
        <w:t>effectivité d</w:t>
      </w:r>
      <w:r w:rsidR="005C50CD" w:rsidRPr="005C50CD">
        <w:rPr>
          <w:lang w:val="fr-FR"/>
        </w:rPr>
        <w:t>’</w:t>
      </w:r>
      <w:r w:rsidRPr="005C50CD">
        <w:rPr>
          <w:lang w:val="fr-FR"/>
        </w:rPr>
        <w:t>un recours au sens de l</w:t>
      </w:r>
      <w:r w:rsidR="005C50CD" w:rsidRPr="005C50CD">
        <w:rPr>
          <w:lang w:val="fr-FR"/>
        </w:rPr>
        <w:t>’</w:t>
      </w:r>
      <w:r w:rsidR="00E4155E" w:rsidRPr="005C50CD">
        <w:rPr>
          <w:lang w:val="fr-FR"/>
        </w:rPr>
        <w:t>article </w:t>
      </w:r>
      <w:r w:rsidRPr="005C50CD">
        <w:rPr>
          <w:lang w:val="fr-FR"/>
        </w:rPr>
        <w:t>13 demande impérativement un contrôle attentif par une autorité nationale (</w:t>
      </w:r>
      <w:r w:rsidRPr="005C50CD">
        <w:rPr>
          <w:i/>
          <w:iCs/>
          <w:lang w:val="fr-FR"/>
        </w:rPr>
        <w:t>Chamaïev et autres c. Géorgie et Russie</w:t>
      </w:r>
      <w:r w:rsidR="00A56CCB" w:rsidRPr="005C50CD">
        <w:rPr>
          <w:lang w:val="fr-FR"/>
        </w:rPr>
        <w:t>, n</w:t>
      </w:r>
      <w:r w:rsidR="00AE19D6" w:rsidRPr="005C50CD">
        <w:rPr>
          <w:vertAlign w:val="superscript"/>
          <w:lang w:val="fr-FR"/>
        </w:rPr>
        <w:t>o</w:t>
      </w:r>
      <w:r w:rsidR="00E4155E" w:rsidRPr="005C50CD">
        <w:rPr>
          <w:lang w:val="fr-FR"/>
        </w:rPr>
        <w:t xml:space="preserve"> 36378/02, § 448, CEDH </w:t>
      </w:r>
      <w:r w:rsidRPr="005C50CD">
        <w:rPr>
          <w:lang w:val="fr-FR"/>
        </w:rPr>
        <w:t>2005</w:t>
      </w:r>
      <w:r w:rsidR="00A56CCB" w:rsidRPr="005C50CD">
        <w:rPr>
          <w:rFonts w:ascii="MS Mincho" w:eastAsia="MS Mincho" w:hAnsi="MS Mincho" w:cs="MS Mincho"/>
          <w:lang w:val="fr-FR"/>
        </w:rPr>
        <w:noBreakHyphen/>
      </w:r>
      <w:r w:rsidRPr="005C50CD">
        <w:rPr>
          <w:lang w:val="fr-FR"/>
        </w:rPr>
        <w:t>III), un examen ind</w:t>
      </w:r>
      <w:r w:rsidRPr="005C50CD">
        <w:rPr>
          <w:rFonts w:ascii="Times New Roman" w:hAnsi="Times New Roman"/>
          <w:lang w:val="fr-FR"/>
        </w:rPr>
        <w:t>é</w:t>
      </w:r>
      <w:r w:rsidRPr="005C50CD">
        <w:rPr>
          <w:lang w:val="fr-FR"/>
        </w:rPr>
        <w:t xml:space="preserve">pendant et rigoureux de tout grief aux termes duquel il existe des motifs de croire </w:t>
      </w:r>
      <w:r w:rsidRPr="005C50CD">
        <w:rPr>
          <w:rFonts w:ascii="Times New Roman" w:hAnsi="Times New Roman"/>
          <w:lang w:val="fr-FR"/>
        </w:rPr>
        <w:t>à</w:t>
      </w:r>
      <w:r w:rsidRPr="005C50CD">
        <w:rPr>
          <w:lang w:val="fr-FR"/>
        </w:rPr>
        <w:t xml:space="preserve"> un risque de traitement contraire </w:t>
      </w:r>
      <w:r w:rsidRPr="005C50CD">
        <w:rPr>
          <w:rFonts w:ascii="Times New Roman" w:hAnsi="Times New Roman"/>
          <w:lang w:val="fr-FR"/>
        </w:rPr>
        <w:t>à</w:t>
      </w:r>
      <w:r w:rsidRPr="005C50CD">
        <w:rPr>
          <w:lang w:val="fr-FR"/>
        </w:rPr>
        <w:t xml:space="preserve"> l</w:t>
      </w:r>
      <w:r w:rsidR="005C50CD" w:rsidRPr="005C50CD">
        <w:rPr>
          <w:rFonts w:ascii="Times New Roman" w:hAnsi="Times New Roman"/>
          <w:lang w:val="fr-FR"/>
        </w:rPr>
        <w:t>’</w:t>
      </w:r>
      <w:r w:rsidRPr="005C50CD">
        <w:rPr>
          <w:lang w:val="fr-FR"/>
        </w:rPr>
        <w:t>article 3 (</w:t>
      </w:r>
      <w:r w:rsidRPr="005C50CD">
        <w:rPr>
          <w:i/>
          <w:lang w:val="fr-FR"/>
        </w:rPr>
        <w:t>Jabari c. Turquie</w:t>
      </w:r>
      <w:r w:rsidRPr="005C50CD">
        <w:rPr>
          <w:lang w:val="fr-FR"/>
        </w:rPr>
        <w:t>, n</w:t>
      </w:r>
      <w:r w:rsidRPr="005C50CD">
        <w:rPr>
          <w:vertAlign w:val="superscript"/>
          <w:lang w:val="fr-FR"/>
        </w:rPr>
        <w:t>o</w:t>
      </w:r>
      <w:r w:rsidR="00E4155E" w:rsidRPr="005C50CD">
        <w:rPr>
          <w:lang w:val="fr-FR"/>
        </w:rPr>
        <w:t xml:space="preserve"> 40035/98, § </w:t>
      </w:r>
      <w:r w:rsidRPr="005C50CD">
        <w:rPr>
          <w:lang w:val="fr-FR"/>
        </w:rPr>
        <w:t xml:space="preserve">50, </w:t>
      </w:r>
      <w:r w:rsidR="00E4155E" w:rsidRPr="005C50CD">
        <w:rPr>
          <w:lang w:val="fr-FR"/>
        </w:rPr>
        <w:t>CEDH </w:t>
      </w:r>
      <w:r w:rsidRPr="005C50CD">
        <w:rPr>
          <w:lang w:val="fr-FR"/>
        </w:rPr>
        <w:t>2000</w:t>
      </w:r>
      <w:r w:rsidRPr="005C50CD">
        <w:rPr>
          <w:lang w:val="fr-FR"/>
        </w:rPr>
        <w:noBreakHyphen/>
        <w:t>VIII) ainsi qu</w:t>
      </w:r>
      <w:r w:rsidR="005C50CD" w:rsidRPr="005C50CD">
        <w:rPr>
          <w:lang w:val="fr-FR"/>
        </w:rPr>
        <w:t>’</w:t>
      </w:r>
      <w:r w:rsidRPr="005C50CD">
        <w:rPr>
          <w:lang w:val="fr-FR"/>
        </w:rPr>
        <w:t>une célérité particulière (</w:t>
      </w:r>
      <w:r w:rsidR="00E4155E" w:rsidRPr="005C50CD">
        <w:rPr>
          <w:i/>
          <w:iCs/>
          <w:lang w:val="fr-FR"/>
        </w:rPr>
        <w:t>Batı et autres c. </w:t>
      </w:r>
      <w:r w:rsidRPr="005C50CD">
        <w:rPr>
          <w:i/>
          <w:iCs/>
          <w:lang w:val="fr-FR"/>
        </w:rPr>
        <w:t>Turquie</w:t>
      </w:r>
      <w:r w:rsidR="007B30DC" w:rsidRPr="005C50CD">
        <w:rPr>
          <w:lang w:val="fr-FR"/>
        </w:rPr>
        <w:t>, n</w:t>
      </w:r>
      <w:r w:rsidR="007B30DC" w:rsidRPr="005C50CD">
        <w:rPr>
          <w:vertAlign w:val="superscript"/>
          <w:lang w:val="fr-FR"/>
        </w:rPr>
        <w:t>os</w:t>
      </w:r>
      <w:r w:rsidR="00A56CCB" w:rsidRPr="005C50CD">
        <w:rPr>
          <w:lang w:val="fr-FR"/>
        </w:rPr>
        <w:t xml:space="preserve"> 33097/96 et 57834/00, § </w:t>
      </w:r>
      <w:r w:rsidRPr="005C50CD">
        <w:rPr>
          <w:lang w:val="fr-FR"/>
        </w:rPr>
        <w:t>136, CEDH 2004</w:t>
      </w:r>
      <w:r w:rsidRPr="005C50CD">
        <w:rPr>
          <w:rFonts w:ascii="MS Mincho" w:eastAsia="MS Mincho" w:hAnsi="MS Mincho" w:cs="MS Mincho" w:hint="eastAsia"/>
          <w:lang w:val="fr-FR"/>
        </w:rPr>
        <w:t>‑</w:t>
      </w:r>
      <w:r w:rsidRPr="005C50CD">
        <w:rPr>
          <w:lang w:val="fr-FR"/>
        </w:rPr>
        <w:t>IV</w:t>
      </w:r>
      <w:r w:rsidR="00A56CCB" w:rsidRPr="005C50CD">
        <w:rPr>
          <w:lang w:val="fr-FR"/>
        </w:rPr>
        <w:t xml:space="preserve"> (extraits)</w:t>
      </w:r>
      <w:r w:rsidRPr="005C50CD">
        <w:rPr>
          <w:lang w:val="fr-FR"/>
        </w:rPr>
        <w:t>). Dans ce cas, l</w:t>
      </w:r>
      <w:r w:rsidR="005C50CD" w:rsidRPr="005C50CD">
        <w:rPr>
          <w:rFonts w:ascii="Times New Roman" w:hAnsi="Times New Roman"/>
          <w:lang w:val="fr-FR"/>
        </w:rPr>
        <w:t>’</w:t>
      </w:r>
      <w:r w:rsidRPr="005C50CD">
        <w:rPr>
          <w:lang w:val="fr-FR"/>
        </w:rPr>
        <w:t>effectivit</w:t>
      </w:r>
      <w:r w:rsidRPr="005C50CD">
        <w:rPr>
          <w:rFonts w:ascii="Times New Roman" w:hAnsi="Times New Roman"/>
          <w:lang w:val="fr-FR"/>
        </w:rPr>
        <w:t>é</w:t>
      </w:r>
      <w:r w:rsidRPr="005C50CD">
        <w:rPr>
          <w:lang w:val="fr-FR"/>
        </w:rPr>
        <w:t xml:space="preserve"> requiert </w:t>
      </w:r>
      <w:r w:rsidRPr="005C50CD">
        <w:rPr>
          <w:rFonts w:ascii="Times New Roman" w:hAnsi="Times New Roman"/>
          <w:lang w:val="fr-FR"/>
        </w:rPr>
        <w:t>é</w:t>
      </w:r>
      <w:r w:rsidRPr="005C50CD">
        <w:rPr>
          <w:lang w:val="fr-FR"/>
        </w:rPr>
        <w:t>galement que les int</w:t>
      </w:r>
      <w:r w:rsidRPr="005C50CD">
        <w:rPr>
          <w:rFonts w:ascii="Times New Roman" w:hAnsi="Times New Roman"/>
          <w:lang w:val="fr-FR"/>
        </w:rPr>
        <w:t>é</w:t>
      </w:r>
      <w:r w:rsidRPr="005C50CD">
        <w:rPr>
          <w:lang w:val="fr-FR"/>
        </w:rPr>
        <w:t>ress</w:t>
      </w:r>
      <w:r w:rsidRPr="005C50CD">
        <w:rPr>
          <w:rFonts w:ascii="Times New Roman" w:hAnsi="Times New Roman"/>
          <w:lang w:val="fr-FR"/>
        </w:rPr>
        <w:t>é</w:t>
      </w:r>
      <w:r w:rsidRPr="005C50CD">
        <w:rPr>
          <w:lang w:val="fr-FR"/>
        </w:rPr>
        <w:t>s disposent d</w:t>
      </w:r>
      <w:r w:rsidR="005C50CD" w:rsidRPr="005C50CD">
        <w:rPr>
          <w:rFonts w:ascii="Times New Roman" w:hAnsi="Times New Roman"/>
          <w:lang w:val="fr-FR"/>
        </w:rPr>
        <w:t>’</w:t>
      </w:r>
      <w:r w:rsidRPr="005C50CD">
        <w:rPr>
          <w:lang w:val="fr-FR"/>
        </w:rPr>
        <w:t>un recours de plein droit suspensif (</w:t>
      </w:r>
      <w:r w:rsidR="00E4155E" w:rsidRPr="005C50CD">
        <w:rPr>
          <w:i/>
          <w:szCs w:val="24"/>
          <w:lang w:val="fr-FR"/>
        </w:rPr>
        <w:t>Gebremedhin [Gaberamadhien] c. </w:t>
      </w:r>
      <w:r w:rsidRPr="005C50CD">
        <w:rPr>
          <w:i/>
          <w:szCs w:val="24"/>
          <w:lang w:val="fr-FR"/>
        </w:rPr>
        <w:t>France</w:t>
      </w:r>
      <w:r w:rsidRPr="005C50CD">
        <w:rPr>
          <w:szCs w:val="24"/>
          <w:lang w:val="fr-FR"/>
        </w:rPr>
        <w:t>, n</w:t>
      </w:r>
      <w:r w:rsidRPr="005C50CD">
        <w:rPr>
          <w:szCs w:val="24"/>
          <w:vertAlign w:val="superscript"/>
          <w:lang w:val="fr-FR"/>
        </w:rPr>
        <w:t>o</w:t>
      </w:r>
      <w:r w:rsidRPr="005C50CD">
        <w:rPr>
          <w:szCs w:val="24"/>
          <w:lang w:val="fr-FR"/>
        </w:rPr>
        <w:t xml:space="preserve"> 25389/05, § 66, </w:t>
      </w:r>
      <w:r w:rsidRPr="005C50CD">
        <w:rPr>
          <w:lang w:val="fr-FR"/>
        </w:rPr>
        <w:t>CEDH 2007</w:t>
      </w:r>
      <w:r w:rsidRPr="005C50CD">
        <w:rPr>
          <w:lang w:val="fr-FR"/>
        </w:rPr>
        <w:noBreakHyphen/>
        <w:t xml:space="preserve">II, et </w:t>
      </w:r>
      <w:r w:rsidR="00E4155E" w:rsidRPr="005C50CD">
        <w:rPr>
          <w:i/>
          <w:iCs/>
          <w:lang w:val="fr-FR"/>
        </w:rPr>
        <w:t>Hirsi Jamaa et autres c. </w:t>
      </w:r>
      <w:r w:rsidRPr="005C50CD">
        <w:rPr>
          <w:i/>
          <w:iCs/>
          <w:lang w:val="fr-FR"/>
        </w:rPr>
        <w:t>Italie</w:t>
      </w:r>
      <w:r w:rsidR="00A56CCB" w:rsidRPr="005C50CD">
        <w:rPr>
          <w:lang w:val="fr-FR"/>
        </w:rPr>
        <w:t xml:space="preserve"> [GC], n</w:t>
      </w:r>
      <w:r w:rsidR="00AE19D6" w:rsidRPr="005C50CD">
        <w:rPr>
          <w:vertAlign w:val="superscript"/>
          <w:lang w:val="fr-FR"/>
        </w:rPr>
        <w:t>o</w:t>
      </w:r>
      <w:r w:rsidRPr="005C50CD">
        <w:rPr>
          <w:lang w:val="fr-FR"/>
        </w:rPr>
        <w:t xml:space="preserve"> 27765/09, § 200, CEDH 2012).</w:t>
      </w:r>
    </w:p>
    <w:p w:rsidR="00576B6F"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34</w:t>
      </w:r>
      <w:r w:rsidRPr="005C50CD">
        <w:rPr>
          <w:lang w:val="fr-FR"/>
        </w:rPr>
        <w:fldChar w:fldCharType="end"/>
      </w:r>
      <w:r w:rsidRPr="005C50CD">
        <w:rPr>
          <w:lang w:val="fr-FR"/>
        </w:rPr>
        <w:t>.  La Cour constate que le recours formé contre la décision de l</w:t>
      </w:r>
      <w:r w:rsidR="005C50CD" w:rsidRPr="005C50CD">
        <w:rPr>
          <w:lang w:val="fr-FR"/>
        </w:rPr>
        <w:t>’</w:t>
      </w:r>
      <w:r w:rsidRPr="005C50CD">
        <w:rPr>
          <w:lang w:val="fr-FR"/>
        </w:rPr>
        <w:t>OFPRA du 18 décembre 2014 a fait l</w:t>
      </w:r>
      <w:r w:rsidR="005C50CD" w:rsidRPr="005C50CD">
        <w:rPr>
          <w:lang w:val="fr-FR"/>
        </w:rPr>
        <w:t>’</w:t>
      </w:r>
      <w:r w:rsidRPr="005C50CD">
        <w:rPr>
          <w:lang w:val="fr-FR"/>
        </w:rPr>
        <w:t>objet d</w:t>
      </w:r>
      <w:r w:rsidR="005C50CD" w:rsidRPr="005C50CD">
        <w:rPr>
          <w:lang w:val="fr-FR"/>
        </w:rPr>
        <w:t>’</w:t>
      </w:r>
      <w:r w:rsidR="00E4155E" w:rsidRPr="005C50CD">
        <w:rPr>
          <w:lang w:val="fr-FR"/>
        </w:rPr>
        <w:t>une décision de la CNDA le 11 </w:t>
      </w:r>
      <w:r w:rsidRPr="005C50CD">
        <w:rPr>
          <w:lang w:val="fr-FR"/>
        </w:rPr>
        <w:t>juin 2015. Elle observe en outre que les recours évoqués par le Gouvernement sont tous dépourvus d</w:t>
      </w:r>
      <w:r w:rsidR="005C50CD" w:rsidRPr="005C50CD">
        <w:rPr>
          <w:lang w:val="fr-FR"/>
        </w:rPr>
        <w:t>’</w:t>
      </w:r>
      <w:r w:rsidRPr="005C50CD">
        <w:rPr>
          <w:lang w:val="fr-FR"/>
        </w:rPr>
        <w:t>effet suspensif. Ils ne peuvent donc être considérés comme efficaces au sens de la jurisprudence précitée. Il convient dès lors de rejeter l</w:t>
      </w:r>
      <w:r w:rsidR="005C50CD" w:rsidRPr="005C50CD">
        <w:rPr>
          <w:lang w:val="fr-FR"/>
        </w:rPr>
        <w:t>’</w:t>
      </w:r>
      <w:r w:rsidRPr="005C50CD">
        <w:rPr>
          <w:lang w:val="fr-FR"/>
        </w:rPr>
        <w:t>exception préliminaire du Gouvernement tirée de l</w:t>
      </w:r>
      <w:r w:rsidR="005C50CD" w:rsidRPr="005C50CD">
        <w:rPr>
          <w:lang w:val="fr-FR"/>
        </w:rPr>
        <w:t>’</w:t>
      </w:r>
      <w:r w:rsidRPr="005C50CD">
        <w:rPr>
          <w:lang w:val="fr-FR"/>
        </w:rPr>
        <w:t>absence d</w:t>
      </w:r>
      <w:r w:rsidR="005C50CD" w:rsidRPr="005C50CD">
        <w:rPr>
          <w:lang w:val="fr-FR"/>
        </w:rPr>
        <w:t>’</w:t>
      </w:r>
      <w:r w:rsidRPr="005C50CD">
        <w:rPr>
          <w:lang w:val="fr-FR"/>
        </w:rPr>
        <w:t>épuisement des voies de recours internes.</w:t>
      </w:r>
    </w:p>
    <w:p w:rsidR="00ED1210"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35</w:t>
      </w:r>
      <w:r w:rsidRPr="005C50CD">
        <w:rPr>
          <w:lang w:val="fr-FR"/>
        </w:rPr>
        <w:fldChar w:fldCharType="end"/>
      </w:r>
      <w:r w:rsidRPr="005C50CD">
        <w:rPr>
          <w:lang w:val="fr-FR"/>
        </w:rPr>
        <w:t>.  La Cour constate par ailleurs que la requête n</w:t>
      </w:r>
      <w:r w:rsidR="005C50CD" w:rsidRPr="005C50CD">
        <w:rPr>
          <w:lang w:val="fr-FR"/>
        </w:rPr>
        <w:t>’</w:t>
      </w:r>
      <w:r w:rsidRPr="005C50CD">
        <w:rPr>
          <w:lang w:val="fr-FR"/>
        </w:rPr>
        <w:t>est pas manifestement mal fondée au sens de l</w:t>
      </w:r>
      <w:r w:rsidR="005C50CD" w:rsidRPr="005C50CD">
        <w:rPr>
          <w:lang w:val="fr-FR"/>
        </w:rPr>
        <w:t>’</w:t>
      </w:r>
      <w:r w:rsidRPr="005C50CD">
        <w:rPr>
          <w:lang w:val="fr-FR"/>
        </w:rPr>
        <w:t>article 35 § 3 a) de la Convention et ne se heurte à aucun autre motif d</w:t>
      </w:r>
      <w:r w:rsidR="005C50CD" w:rsidRPr="005C50CD">
        <w:rPr>
          <w:lang w:val="fr-FR"/>
        </w:rPr>
        <w:t>’</w:t>
      </w:r>
      <w:r w:rsidRPr="005C50CD">
        <w:rPr>
          <w:lang w:val="fr-FR"/>
        </w:rPr>
        <w:t>irrecevabilité. Il convient donc de la déclarer recevable.</w:t>
      </w:r>
    </w:p>
    <w:p w:rsidR="00576B6F" w:rsidRPr="005C50CD" w:rsidRDefault="00A56CCB" w:rsidP="005C50CD">
      <w:pPr>
        <w:pStyle w:val="ECHRHeading2"/>
        <w:numPr>
          <w:ilvl w:val="0"/>
          <w:numId w:val="0"/>
        </w:numPr>
        <w:ind w:left="584" w:hanging="352"/>
        <w:rPr>
          <w:lang w:val="fr-FR"/>
        </w:rPr>
      </w:pPr>
      <w:r w:rsidRPr="005C50CD">
        <w:rPr>
          <w:lang w:val="fr-FR"/>
        </w:rPr>
        <w:t>B.  </w:t>
      </w:r>
      <w:r w:rsidR="00576B6F" w:rsidRPr="005C50CD">
        <w:rPr>
          <w:lang w:val="fr-FR"/>
        </w:rPr>
        <w:t>Sur le fond</w:t>
      </w:r>
    </w:p>
    <w:p w:rsidR="00576B6F" w:rsidRPr="005C50CD" w:rsidRDefault="00A56CCB" w:rsidP="005C50CD">
      <w:pPr>
        <w:pStyle w:val="ECHRHeading3"/>
        <w:numPr>
          <w:ilvl w:val="0"/>
          <w:numId w:val="0"/>
        </w:numPr>
        <w:ind w:left="732" w:hanging="301"/>
        <w:rPr>
          <w:lang w:val="fr-FR"/>
        </w:rPr>
      </w:pPr>
      <w:r w:rsidRPr="005C50CD">
        <w:rPr>
          <w:lang w:val="fr-FR"/>
        </w:rPr>
        <w:t>1.  </w:t>
      </w:r>
      <w:r w:rsidR="00576B6F" w:rsidRPr="005C50CD">
        <w:rPr>
          <w:lang w:val="fr-FR"/>
        </w:rPr>
        <w:t>Observations des parties</w:t>
      </w:r>
    </w:p>
    <w:p w:rsidR="005C50CD"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36</w:t>
      </w:r>
      <w:r w:rsidRPr="005C50CD">
        <w:rPr>
          <w:lang w:val="fr-FR"/>
        </w:rPr>
        <w:fldChar w:fldCharType="end"/>
      </w:r>
      <w:r w:rsidRPr="005C50CD">
        <w:rPr>
          <w:lang w:val="fr-FR"/>
        </w:rPr>
        <w:t>.  Le requérant indique que la requête précise, par erreur, qu</w:t>
      </w:r>
      <w:r w:rsidR="005C50CD" w:rsidRPr="005C50CD">
        <w:rPr>
          <w:lang w:val="fr-FR"/>
        </w:rPr>
        <w:t>’</w:t>
      </w:r>
      <w:r w:rsidRPr="005C50CD">
        <w:rPr>
          <w:lang w:val="fr-FR"/>
        </w:rPr>
        <w:t>il a été arrêté une troisième fois le 22 novembre 2007, date qui correspond en réalité à celle du décès de son fils. La</w:t>
      </w:r>
      <w:r w:rsidR="00A56CCB" w:rsidRPr="005C50CD">
        <w:rPr>
          <w:lang w:val="fr-FR"/>
        </w:rPr>
        <w:t xml:space="preserve"> date de son arrestation, le 15 </w:t>
      </w:r>
      <w:r w:rsidRPr="005C50CD">
        <w:rPr>
          <w:lang w:val="fr-FR"/>
        </w:rPr>
        <w:t xml:space="preserve">novembre 2007, est </w:t>
      </w:r>
      <w:r w:rsidR="007B30DC" w:rsidRPr="005C50CD">
        <w:rPr>
          <w:lang w:val="fr-FR"/>
        </w:rPr>
        <w:t xml:space="preserve">notamment </w:t>
      </w:r>
      <w:r w:rsidRPr="005C50CD">
        <w:rPr>
          <w:lang w:val="fr-FR"/>
        </w:rPr>
        <w:t>confirmée par diverses attestations émises par l</w:t>
      </w:r>
      <w:r w:rsidR="005C50CD" w:rsidRPr="005C50CD">
        <w:rPr>
          <w:lang w:val="fr-FR"/>
        </w:rPr>
        <w:t>’</w:t>
      </w:r>
      <w:r w:rsidRPr="005C50CD">
        <w:rPr>
          <w:lang w:val="fr-FR"/>
        </w:rPr>
        <w:t xml:space="preserve">Agence Objectiv </w:t>
      </w:r>
      <w:r w:rsidR="00632AA1" w:rsidRPr="005C50CD">
        <w:rPr>
          <w:lang w:val="fr-FR"/>
        </w:rPr>
        <w:t xml:space="preserve">et </w:t>
      </w:r>
      <w:r w:rsidRPr="005C50CD">
        <w:rPr>
          <w:lang w:val="fr-FR"/>
        </w:rPr>
        <w:t>dont l</w:t>
      </w:r>
      <w:r w:rsidR="005C50CD" w:rsidRPr="005C50CD">
        <w:rPr>
          <w:lang w:val="fr-FR"/>
        </w:rPr>
        <w:t>’</w:t>
      </w:r>
      <w:r w:rsidRPr="005C50CD">
        <w:rPr>
          <w:lang w:val="fr-FR"/>
        </w:rPr>
        <w:t>auteur est une autorité en matière de lutte en faveur des droits de l</w:t>
      </w:r>
      <w:r w:rsidR="005C50CD" w:rsidRPr="005C50CD">
        <w:rPr>
          <w:lang w:val="fr-FR"/>
        </w:rPr>
        <w:t>’</w:t>
      </w:r>
      <w:r w:rsidRPr="005C50CD">
        <w:rPr>
          <w:lang w:val="fr-FR"/>
        </w:rPr>
        <w:t xml:space="preserve">homme en Tchétchénie. </w:t>
      </w:r>
      <w:r w:rsidR="007B30DC" w:rsidRPr="005C50CD">
        <w:rPr>
          <w:lang w:val="fr-FR"/>
        </w:rPr>
        <w:t>Selon l</w:t>
      </w:r>
      <w:r w:rsidRPr="005C50CD">
        <w:rPr>
          <w:lang w:val="fr-FR"/>
        </w:rPr>
        <w:t>e requérant</w:t>
      </w:r>
      <w:r w:rsidR="007B30DC" w:rsidRPr="005C50CD">
        <w:rPr>
          <w:lang w:val="fr-FR"/>
        </w:rPr>
        <w:t>,</w:t>
      </w:r>
      <w:r w:rsidRPr="005C50CD">
        <w:rPr>
          <w:lang w:val="fr-FR"/>
        </w:rPr>
        <w:t xml:space="preserve"> le fait qu</w:t>
      </w:r>
      <w:r w:rsidR="005C50CD" w:rsidRPr="005C50CD">
        <w:rPr>
          <w:lang w:val="fr-FR"/>
        </w:rPr>
        <w:t>’</w:t>
      </w:r>
      <w:r w:rsidRPr="005C50CD">
        <w:rPr>
          <w:lang w:val="fr-FR"/>
        </w:rPr>
        <w:t>il ait été arrêté à plusieurs reprises, avec plusieurs mois d</w:t>
      </w:r>
      <w:r w:rsidR="005C50CD" w:rsidRPr="005C50CD">
        <w:rPr>
          <w:lang w:val="fr-FR"/>
        </w:rPr>
        <w:t>’</w:t>
      </w:r>
      <w:r w:rsidRPr="005C50CD">
        <w:rPr>
          <w:lang w:val="fr-FR"/>
        </w:rPr>
        <w:t>intervalles, s</w:t>
      </w:r>
      <w:r w:rsidR="005C50CD" w:rsidRPr="005C50CD">
        <w:rPr>
          <w:lang w:val="fr-FR"/>
        </w:rPr>
        <w:t>’</w:t>
      </w:r>
      <w:r w:rsidRPr="005C50CD">
        <w:rPr>
          <w:lang w:val="fr-FR"/>
        </w:rPr>
        <w:t xml:space="preserve">explique </w:t>
      </w:r>
      <w:r w:rsidR="007B30DC" w:rsidRPr="005C50CD">
        <w:rPr>
          <w:lang w:val="fr-FR"/>
        </w:rPr>
        <w:t>par</w:t>
      </w:r>
      <w:r w:rsidRPr="005C50CD">
        <w:rPr>
          <w:lang w:val="fr-FR"/>
        </w:rPr>
        <w:t xml:space="preserve"> la situation</w:t>
      </w:r>
      <w:r w:rsidR="007B30DC" w:rsidRPr="005C50CD">
        <w:rPr>
          <w:lang w:val="fr-FR"/>
        </w:rPr>
        <w:t xml:space="preserve"> prévalant</w:t>
      </w:r>
      <w:r w:rsidRPr="005C50CD">
        <w:rPr>
          <w:lang w:val="fr-FR"/>
        </w:rPr>
        <w:t xml:space="preserve"> en Tchétchénie où les arrestations arbitraires sont fréquentes. Il </w:t>
      </w:r>
      <w:r w:rsidR="00632AA1" w:rsidRPr="005C50CD">
        <w:rPr>
          <w:lang w:val="fr-FR"/>
        </w:rPr>
        <w:t>précise</w:t>
      </w:r>
      <w:r w:rsidRPr="005C50CD">
        <w:rPr>
          <w:lang w:val="fr-FR"/>
        </w:rPr>
        <w:t xml:space="preserve"> que, lors de sa dernière arrestation, il a été interrogé sur les personnes qui combattaient aux côtés de son ami T.I. et sur la localisation de leur base.</w:t>
      </w:r>
    </w:p>
    <w:p w:rsidR="005C50CD"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37</w:t>
      </w:r>
      <w:r w:rsidRPr="005C50CD">
        <w:rPr>
          <w:lang w:val="fr-FR"/>
        </w:rPr>
        <w:fldChar w:fldCharType="end"/>
      </w:r>
      <w:r w:rsidRPr="005C50CD">
        <w:rPr>
          <w:lang w:val="fr-FR"/>
        </w:rPr>
        <w:t>.  Le requérant dit être très méfiant en raison de son vécu particulièrement douloureux et des kadyrovskis infiltrés qu</w:t>
      </w:r>
      <w:r w:rsidR="005C50CD" w:rsidRPr="005C50CD">
        <w:rPr>
          <w:lang w:val="fr-FR"/>
        </w:rPr>
        <w:t>’</w:t>
      </w:r>
      <w:r w:rsidRPr="005C50CD">
        <w:rPr>
          <w:lang w:val="fr-FR"/>
        </w:rPr>
        <w:t xml:space="preserve">il a rencontrés </w:t>
      </w:r>
      <w:r w:rsidRPr="005C50CD">
        <w:rPr>
          <w:lang w:val="fr-FR"/>
        </w:rPr>
        <w:lastRenderedPageBreak/>
        <w:t xml:space="preserve">en Pologne, </w:t>
      </w:r>
      <w:r w:rsidR="007B30DC" w:rsidRPr="005C50CD">
        <w:rPr>
          <w:lang w:val="fr-FR"/>
        </w:rPr>
        <w:t>d</w:t>
      </w:r>
      <w:r w:rsidR="005C50CD" w:rsidRPr="005C50CD">
        <w:rPr>
          <w:lang w:val="fr-FR"/>
        </w:rPr>
        <w:t>’</w:t>
      </w:r>
      <w:r w:rsidR="007B30DC" w:rsidRPr="005C50CD">
        <w:rPr>
          <w:lang w:val="fr-FR"/>
        </w:rPr>
        <w:t>où sa réticence</w:t>
      </w:r>
      <w:r w:rsidRPr="005C50CD">
        <w:rPr>
          <w:lang w:val="fr-FR"/>
        </w:rPr>
        <w:t xml:space="preserve"> à initier toute démarche pouvant l</w:t>
      </w:r>
      <w:r w:rsidR="005C50CD" w:rsidRPr="005C50CD">
        <w:rPr>
          <w:lang w:val="fr-FR"/>
        </w:rPr>
        <w:t>’</w:t>
      </w:r>
      <w:r w:rsidRPr="005C50CD">
        <w:rPr>
          <w:lang w:val="fr-FR"/>
        </w:rPr>
        <w:t>exposer. Les souffrances endurées en France du fait des mauvais traitements subis en Tchétchénie étant essentiellement psychologiques, il ne ressentit pas le besoin de consulter un médecin jusqu</w:t>
      </w:r>
      <w:r w:rsidR="005C50CD" w:rsidRPr="005C50CD">
        <w:rPr>
          <w:lang w:val="fr-FR"/>
        </w:rPr>
        <w:t>’</w:t>
      </w:r>
      <w:r w:rsidRPr="005C50CD">
        <w:rPr>
          <w:lang w:val="fr-FR"/>
        </w:rPr>
        <w:t>en novembre 2010. Il rappelle qu</w:t>
      </w:r>
      <w:r w:rsidR="005C50CD" w:rsidRPr="005C50CD">
        <w:rPr>
          <w:lang w:val="fr-FR"/>
        </w:rPr>
        <w:t>’</w:t>
      </w:r>
      <w:r w:rsidRPr="005C50CD">
        <w:rPr>
          <w:lang w:val="fr-FR"/>
        </w:rPr>
        <w:t>il fournit un certificat médical attestant que ses lésions sont compatibles avec les faits déclarés, que sa condamnation concerne des faits de violences datant de 2011 et qu</w:t>
      </w:r>
      <w:r w:rsidR="005C50CD" w:rsidRPr="005C50CD">
        <w:rPr>
          <w:lang w:val="fr-FR"/>
        </w:rPr>
        <w:t>’</w:t>
      </w:r>
      <w:r w:rsidRPr="005C50CD">
        <w:rPr>
          <w:lang w:val="fr-FR"/>
        </w:rPr>
        <w:t>auparavant, aucun fait de violence ne lui a jamais été imputé.</w:t>
      </w:r>
    </w:p>
    <w:p w:rsidR="005C50CD"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38</w:t>
      </w:r>
      <w:r w:rsidRPr="005C50CD">
        <w:rPr>
          <w:lang w:val="fr-FR"/>
        </w:rPr>
        <w:fldChar w:fldCharType="end"/>
      </w:r>
      <w:r w:rsidRPr="005C50CD">
        <w:rPr>
          <w:lang w:val="fr-FR"/>
        </w:rPr>
        <w:t>.  Bien qu</w:t>
      </w:r>
      <w:r w:rsidR="005C50CD" w:rsidRPr="005C50CD">
        <w:rPr>
          <w:lang w:val="fr-FR"/>
        </w:rPr>
        <w:t>’</w:t>
      </w:r>
      <w:r w:rsidRPr="005C50CD">
        <w:rPr>
          <w:lang w:val="fr-FR"/>
        </w:rPr>
        <w:t>ayant accepté, sous la torture, de devenir un indicateur pour les autorités tchétchènes, le requérant dit n</w:t>
      </w:r>
      <w:r w:rsidR="005C50CD" w:rsidRPr="005C50CD">
        <w:rPr>
          <w:lang w:val="fr-FR"/>
        </w:rPr>
        <w:t>’</w:t>
      </w:r>
      <w:r w:rsidRPr="005C50CD">
        <w:rPr>
          <w:lang w:val="fr-FR"/>
        </w:rPr>
        <w:t>avoir eu aucune intention de tenir sa promesse car il craignait qu</w:t>
      </w:r>
      <w:r w:rsidR="005C50CD" w:rsidRPr="005C50CD">
        <w:rPr>
          <w:lang w:val="fr-FR"/>
        </w:rPr>
        <w:t>’</w:t>
      </w:r>
      <w:r w:rsidRPr="005C50CD">
        <w:rPr>
          <w:lang w:val="fr-FR"/>
        </w:rPr>
        <w:t>en le devenant, il n</w:t>
      </w:r>
      <w:r w:rsidR="005C50CD" w:rsidRPr="005C50CD">
        <w:rPr>
          <w:lang w:val="fr-FR"/>
        </w:rPr>
        <w:t>’</w:t>
      </w:r>
      <w:r w:rsidRPr="005C50CD">
        <w:rPr>
          <w:lang w:val="fr-FR"/>
        </w:rPr>
        <w:t>expose sa vie et celle de sa famille aux menaces des combattants rebelles. Or, il savait qu</w:t>
      </w:r>
      <w:r w:rsidR="005C50CD" w:rsidRPr="005C50CD">
        <w:rPr>
          <w:lang w:val="fr-FR"/>
        </w:rPr>
        <w:t>’</w:t>
      </w:r>
      <w:r w:rsidRPr="005C50CD">
        <w:rPr>
          <w:lang w:val="fr-FR"/>
        </w:rPr>
        <w:t>en ne fournissant aucune information au ROUBOP, il aurait été sans nul doute torturé et tué. Il quitta son pays, en laissant derrière lui, la mort dans l</w:t>
      </w:r>
      <w:r w:rsidR="005C50CD" w:rsidRPr="005C50CD">
        <w:rPr>
          <w:lang w:val="fr-FR"/>
        </w:rPr>
        <w:t>’</w:t>
      </w:r>
      <w:r w:rsidRPr="005C50CD">
        <w:rPr>
          <w:lang w:val="fr-FR"/>
        </w:rPr>
        <w:t>âme, son épouse</w:t>
      </w:r>
      <w:r w:rsidR="00841320" w:rsidRPr="005C50CD">
        <w:rPr>
          <w:lang w:val="fr-FR"/>
        </w:rPr>
        <w:t>, hospitalisée et ne pouvant se déplacer,</w:t>
      </w:r>
      <w:r w:rsidRPr="005C50CD">
        <w:rPr>
          <w:lang w:val="fr-FR"/>
        </w:rPr>
        <w:t xml:space="preserve"> mais en prévoyant de la faire venir auprès de lui le plus rapidement possible.</w:t>
      </w:r>
    </w:p>
    <w:p w:rsidR="00576B6F"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39</w:t>
      </w:r>
      <w:r w:rsidRPr="005C50CD">
        <w:rPr>
          <w:lang w:val="fr-FR"/>
        </w:rPr>
        <w:fldChar w:fldCharType="end"/>
      </w:r>
      <w:r w:rsidRPr="005C50CD">
        <w:rPr>
          <w:lang w:val="fr-FR"/>
        </w:rPr>
        <w:t>.  Le requérant expose que les recherches des autorités à son encontre n</w:t>
      </w:r>
      <w:r w:rsidR="005C50CD" w:rsidRPr="005C50CD">
        <w:rPr>
          <w:lang w:val="fr-FR"/>
        </w:rPr>
        <w:t>’</w:t>
      </w:r>
      <w:r w:rsidRPr="005C50CD">
        <w:rPr>
          <w:lang w:val="fr-FR"/>
        </w:rPr>
        <w:t>ont jamais cessé, ce qui explique pourquoi des convocations lui sont régulièrement adressées. Son père est contraint de fuir de ville en ville, profitant parfois d</w:t>
      </w:r>
      <w:r w:rsidR="005C50CD" w:rsidRPr="005C50CD">
        <w:rPr>
          <w:lang w:val="fr-FR"/>
        </w:rPr>
        <w:t>’</w:t>
      </w:r>
      <w:r w:rsidRPr="005C50CD">
        <w:rPr>
          <w:lang w:val="fr-FR"/>
        </w:rPr>
        <w:t>accalmies dans les recherches pour s</w:t>
      </w:r>
      <w:r w:rsidR="005C50CD" w:rsidRPr="005C50CD">
        <w:rPr>
          <w:lang w:val="fr-FR"/>
        </w:rPr>
        <w:t>’</w:t>
      </w:r>
      <w:r w:rsidRPr="005C50CD">
        <w:rPr>
          <w:lang w:val="fr-FR"/>
        </w:rPr>
        <w:t xml:space="preserve">établir plus longtemps. Le requérant relate également que plusieurs jeunes tchétchènes, réfugiés en France, sont rentrés récemment clandestinement en Tchétchénie pour combattre le pouvoir en place. Pour cette raison, les autorités auraient accéléré les recherches concernant certains jeunes ayant fui la Tchétchénie, dont </w:t>
      </w:r>
      <w:r w:rsidR="0064194C" w:rsidRPr="005C50CD">
        <w:rPr>
          <w:lang w:val="fr-FR"/>
        </w:rPr>
        <w:t>lui-même</w:t>
      </w:r>
      <w:r w:rsidRPr="005C50CD">
        <w:rPr>
          <w:lang w:val="fr-FR"/>
        </w:rPr>
        <w:t>.</w:t>
      </w:r>
    </w:p>
    <w:p w:rsidR="005C50CD"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40</w:t>
      </w:r>
      <w:r w:rsidRPr="005C50CD">
        <w:rPr>
          <w:lang w:val="fr-FR"/>
        </w:rPr>
        <w:fldChar w:fldCharType="end"/>
      </w:r>
      <w:r w:rsidRPr="005C50CD">
        <w:rPr>
          <w:lang w:val="fr-FR"/>
        </w:rPr>
        <w:t>.  Le requérant fait valoir que l</w:t>
      </w:r>
      <w:r w:rsidR="005C50CD" w:rsidRPr="005C50CD">
        <w:rPr>
          <w:lang w:val="fr-FR"/>
        </w:rPr>
        <w:t>’</w:t>
      </w:r>
      <w:r w:rsidRPr="005C50CD">
        <w:rPr>
          <w:lang w:val="fr-FR"/>
        </w:rPr>
        <w:t>une de ses sœurs a obtenu le statut de réfugié</w:t>
      </w:r>
      <w:r w:rsidR="0064194C" w:rsidRPr="005C50CD">
        <w:rPr>
          <w:lang w:val="fr-FR"/>
        </w:rPr>
        <w:t>e</w:t>
      </w:r>
      <w:r w:rsidRPr="005C50CD">
        <w:rPr>
          <w:lang w:val="fr-FR"/>
        </w:rPr>
        <w:t xml:space="preserve"> en France.</w:t>
      </w:r>
    </w:p>
    <w:p w:rsidR="005C50CD"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41</w:t>
      </w:r>
      <w:r w:rsidRPr="005C50CD">
        <w:rPr>
          <w:lang w:val="fr-FR"/>
        </w:rPr>
        <w:fldChar w:fldCharType="end"/>
      </w:r>
      <w:r w:rsidRPr="005C50CD">
        <w:rPr>
          <w:lang w:val="fr-FR"/>
        </w:rPr>
        <w:t>.  Le requérant signale que,</w:t>
      </w:r>
      <w:r w:rsidR="00FC55E7" w:rsidRPr="005C50CD">
        <w:rPr>
          <w:lang w:val="fr-FR"/>
        </w:rPr>
        <w:t xml:space="preserve"> condamné à une peine de quatre </w:t>
      </w:r>
      <w:r w:rsidRPr="005C50CD">
        <w:rPr>
          <w:lang w:val="fr-FR"/>
        </w:rPr>
        <w:t>ans d</w:t>
      </w:r>
      <w:r w:rsidR="005C50CD" w:rsidRPr="005C50CD">
        <w:rPr>
          <w:lang w:val="fr-FR"/>
        </w:rPr>
        <w:t>’</w:t>
      </w:r>
      <w:r w:rsidRPr="005C50CD">
        <w:rPr>
          <w:lang w:val="fr-FR"/>
        </w:rPr>
        <w:t>emprisonnement le 12 février 2013 et faisant l</w:t>
      </w:r>
      <w:r w:rsidR="005C50CD" w:rsidRPr="005C50CD">
        <w:rPr>
          <w:lang w:val="fr-FR"/>
        </w:rPr>
        <w:t>’</w:t>
      </w:r>
      <w:r w:rsidRPr="005C50CD">
        <w:rPr>
          <w:lang w:val="fr-FR"/>
        </w:rPr>
        <w:t>objet d</w:t>
      </w:r>
      <w:r w:rsidR="005C50CD" w:rsidRPr="005C50CD">
        <w:rPr>
          <w:lang w:val="fr-FR"/>
        </w:rPr>
        <w:t>’</w:t>
      </w:r>
      <w:r w:rsidRPr="005C50CD">
        <w:rPr>
          <w:lang w:val="fr-FR"/>
        </w:rPr>
        <w:t>une obligation de quitter le territoire français, il avait la possibilité de solliciter à mi-peine une « libération conditionnelle expulsion » qui lui aurait permis d</w:t>
      </w:r>
      <w:r w:rsidR="005C50CD" w:rsidRPr="005C50CD">
        <w:rPr>
          <w:lang w:val="fr-FR"/>
        </w:rPr>
        <w:t>’</w:t>
      </w:r>
      <w:r w:rsidRPr="005C50CD">
        <w:rPr>
          <w:lang w:val="fr-FR"/>
        </w:rPr>
        <w:t>éviter de purger environ deux ans d</w:t>
      </w:r>
      <w:r w:rsidR="005C50CD" w:rsidRPr="005C50CD">
        <w:rPr>
          <w:lang w:val="fr-FR"/>
        </w:rPr>
        <w:t>’</w:t>
      </w:r>
      <w:r w:rsidRPr="005C50CD">
        <w:rPr>
          <w:lang w:val="fr-FR"/>
        </w:rPr>
        <w:t>emprisonnement s</w:t>
      </w:r>
      <w:r w:rsidR="005C50CD" w:rsidRPr="005C50CD">
        <w:rPr>
          <w:lang w:val="fr-FR"/>
        </w:rPr>
        <w:t>’</w:t>
      </w:r>
      <w:r w:rsidRPr="005C50CD">
        <w:rPr>
          <w:lang w:val="fr-FR"/>
        </w:rPr>
        <w:t>il avait consenti à son expulsion dans son pays d</w:t>
      </w:r>
      <w:r w:rsidR="005C50CD" w:rsidRPr="005C50CD">
        <w:rPr>
          <w:lang w:val="fr-FR"/>
        </w:rPr>
        <w:t>’</w:t>
      </w:r>
      <w:r w:rsidRPr="005C50CD">
        <w:rPr>
          <w:lang w:val="fr-FR"/>
        </w:rPr>
        <w:t>origine.</w:t>
      </w:r>
    </w:p>
    <w:p w:rsidR="00576B6F"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42</w:t>
      </w:r>
      <w:r w:rsidRPr="005C50CD">
        <w:rPr>
          <w:lang w:val="fr-FR"/>
        </w:rPr>
        <w:fldChar w:fldCharType="end"/>
      </w:r>
      <w:r w:rsidRPr="005C50CD">
        <w:rPr>
          <w:lang w:val="fr-FR"/>
        </w:rPr>
        <w:t>.  Tout en reconnaissant le caractère préoccupant de la situation prévalant actuellement dans les républiques nord-caucasiennes de la Fédération de Russie, le Gouvernement estime que cela ne suffit pas, en soi, à générer un risque de traitement inhumain ou dégradant en cas de renvoi et qu</w:t>
      </w:r>
      <w:r w:rsidR="005C50CD" w:rsidRPr="005C50CD">
        <w:rPr>
          <w:lang w:val="fr-FR"/>
        </w:rPr>
        <w:t>’</w:t>
      </w:r>
      <w:r w:rsidRPr="005C50CD">
        <w:rPr>
          <w:lang w:val="fr-FR"/>
        </w:rPr>
        <w:t>il appartient au requérant de démontrer que sa situation personnelle l</w:t>
      </w:r>
      <w:r w:rsidR="005C50CD" w:rsidRPr="005C50CD">
        <w:rPr>
          <w:lang w:val="fr-FR"/>
        </w:rPr>
        <w:t>’</w:t>
      </w:r>
      <w:r w:rsidRPr="005C50CD">
        <w:rPr>
          <w:lang w:val="fr-FR"/>
        </w:rPr>
        <w:t>expose à un tel risque. Or, selon lui, le récit du requérant est émaillé d</w:t>
      </w:r>
      <w:r w:rsidR="005C50CD" w:rsidRPr="005C50CD">
        <w:rPr>
          <w:lang w:val="fr-FR"/>
        </w:rPr>
        <w:t>’</w:t>
      </w:r>
      <w:r w:rsidRPr="005C50CD">
        <w:rPr>
          <w:lang w:val="fr-FR"/>
        </w:rPr>
        <w:t>incohérences qui permettent de douter de la véracité de ses allégations.</w:t>
      </w:r>
    </w:p>
    <w:p w:rsidR="005C50CD"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43</w:t>
      </w:r>
      <w:r w:rsidRPr="005C50CD">
        <w:rPr>
          <w:lang w:val="fr-FR"/>
        </w:rPr>
        <w:fldChar w:fldCharType="end"/>
      </w:r>
      <w:r w:rsidRPr="005C50CD">
        <w:rPr>
          <w:lang w:val="fr-FR"/>
        </w:rPr>
        <w:t>.  Le Gouvernement attire tout d</w:t>
      </w:r>
      <w:r w:rsidR="005C50CD" w:rsidRPr="005C50CD">
        <w:rPr>
          <w:lang w:val="fr-FR"/>
        </w:rPr>
        <w:t>’</w:t>
      </w:r>
      <w:r w:rsidRPr="005C50CD">
        <w:rPr>
          <w:lang w:val="fr-FR"/>
        </w:rPr>
        <w:t>abord l</w:t>
      </w:r>
      <w:r w:rsidR="005C50CD" w:rsidRPr="005C50CD">
        <w:rPr>
          <w:lang w:val="fr-FR"/>
        </w:rPr>
        <w:t>’</w:t>
      </w:r>
      <w:r w:rsidRPr="005C50CD">
        <w:rPr>
          <w:lang w:val="fr-FR"/>
        </w:rPr>
        <w:t>attention de la Cour sur la chronologie des faits rapportés. Alors que le requérant soutient dans sa requête avoir été arrêté pour la troisième fois le 22 novembre 2007, plusieurs pièces du dossier, dont l</w:t>
      </w:r>
      <w:r w:rsidR="005C50CD" w:rsidRPr="005C50CD">
        <w:rPr>
          <w:lang w:val="fr-FR"/>
        </w:rPr>
        <w:t>’</w:t>
      </w:r>
      <w:r w:rsidRPr="005C50CD">
        <w:rPr>
          <w:lang w:val="fr-FR"/>
        </w:rPr>
        <w:t xml:space="preserve">attestation de sa mère et le document </w:t>
      </w:r>
      <w:r w:rsidRPr="005C50CD">
        <w:rPr>
          <w:lang w:val="fr-FR"/>
        </w:rPr>
        <w:lastRenderedPageBreak/>
        <w:t>émanant de l</w:t>
      </w:r>
      <w:r w:rsidR="005C50CD" w:rsidRPr="005C50CD">
        <w:rPr>
          <w:lang w:val="fr-FR"/>
        </w:rPr>
        <w:t>’</w:t>
      </w:r>
      <w:r w:rsidRPr="005C50CD">
        <w:rPr>
          <w:lang w:val="fr-FR"/>
        </w:rPr>
        <w:t>organisation régionale Press Cen</w:t>
      </w:r>
      <w:r w:rsidR="00A56CCB" w:rsidRPr="005C50CD">
        <w:rPr>
          <w:lang w:val="fr-FR"/>
        </w:rPr>
        <w:t>tre, datent l</w:t>
      </w:r>
      <w:r w:rsidR="005C50CD" w:rsidRPr="005C50CD">
        <w:rPr>
          <w:lang w:val="fr-FR"/>
        </w:rPr>
        <w:t>’</w:t>
      </w:r>
      <w:r w:rsidR="00A56CCB" w:rsidRPr="005C50CD">
        <w:rPr>
          <w:lang w:val="fr-FR"/>
        </w:rPr>
        <w:t>arrestation au 15 </w:t>
      </w:r>
      <w:r w:rsidRPr="005C50CD">
        <w:rPr>
          <w:lang w:val="fr-FR"/>
        </w:rPr>
        <w:t>novembre 2007. De plus, les pièces médicales relatives à l</w:t>
      </w:r>
      <w:r w:rsidR="005C50CD" w:rsidRPr="005C50CD">
        <w:rPr>
          <w:lang w:val="fr-FR"/>
        </w:rPr>
        <w:t>’</w:t>
      </w:r>
      <w:r w:rsidRPr="005C50CD">
        <w:rPr>
          <w:lang w:val="fr-FR"/>
        </w:rPr>
        <w:t>accouchement prématuré et au décès de l</w:t>
      </w:r>
      <w:r w:rsidR="005C50CD" w:rsidRPr="005C50CD">
        <w:rPr>
          <w:lang w:val="fr-FR"/>
        </w:rPr>
        <w:t>’</w:t>
      </w:r>
      <w:r w:rsidRPr="005C50CD">
        <w:rPr>
          <w:lang w:val="fr-FR"/>
        </w:rPr>
        <w:t>enfant font état d</w:t>
      </w:r>
      <w:r w:rsidR="005C50CD" w:rsidRPr="005C50CD">
        <w:rPr>
          <w:lang w:val="fr-FR"/>
        </w:rPr>
        <w:t>’</w:t>
      </w:r>
      <w:r w:rsidRPr="005C50CD">
        <w:rPr>
          <w:lang w:val="fr-FR"/>
        </w:rPr>
        <w:t>une admission à l</w:t>
      </w:r>
      <w:r w:rsidR="005C50CD" w:rsidRPr="005C50CD">
        <w:rPr>
          <w:lang w:val="fr-FR"/>
        </w:rPr>
        <w:t>’</w:t>
      </w:r>
      <w:r w:rsidRPr="005C50CD">
        <w:rPr>
          <w:lang w:val="fr-FR"/>
        </w:rPr>
        <w:t>hôpital de son épouse le 1</w:t>
      </w:r>
      <w:r w:rsidR="000C4799" w:rsidRPr="005C50CD">
        <w:rPr>
          <w:lang w:val="fr-FR"/>
        </w:rPr>
        <w:t>4</w:t>
      </w:r>
      <w:r w:rsidRPr="005C50CD">
        <w:rPr>
          <w:lang w:val="fr-FR"/>
        </w:rPr>
        <w:t xml:space="preserve"> novembre 2007, soit antérieurement à l</w:t>
      </w:r>
      <w:r w:rsidR="005C50CD" w:rsidRPr="005C50CD">
        <w:rPr>
          <w:lang w:val="fr-FR"/>
        </w:rPr>
        <w:t>’</w:t>
      </w:r>
      <w:r w:rsidRPr="005C50CD">
        <w:rPr>
          <w:lang w:val="fr-FR"/>
        </w:rPr>
        <w:t>arrestation et aux violences invoquées.</w:t>
      </w:r>
    </w:p>
    <w:p w:rsidR="005C50CD"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44</w:t>
      </w:r>
      <w:r w:rsidRPr="005C50CD">
        <w:rPr>
          <w:lang w:val="fr-FR"/>
        </w:rPr>
        <w:fldChar w:fldCharType="end"/>
      </w:r>
      <w:r w:rsidRPr="005C50CD">
        <w:rPr>
          <w:lang w:val="fr-FR"/>
        </w:rPr>
        <w:t>.  Le Gouvernement s</w:t>
      </w:r>
      <w:r w:rsidR="005C50CD" w:rsidRPr="005C50CD">
        <w:rPr>
          <w:lang w:val="fr-FR"/>
        </w:rPr>
        <w:t>’</w:t>
      </w:r>
      <w:r w:rsidRPr="005C50CD">
        <w:rPr>
          <w:lang w:val="fr-FR"/>
        </w:rPr>
        <w:t xml:space="preserve">étonne ensuite au vu des sévices relatés que le requérant, pourtant arrivé en France le 20 </w:t>
      </w:r>
      <w:r w:rsidR="00A56CCB" w:rsidRPr="005C50CD">
        <w:rPr>
          <w:lang w:val="fr-FR"/>
        </w:rPr>
        <w:t>janvier 2008, ait attendu le 29 </w:t>
      </w:r>
      <w:r w:rsidRPr="005C50CD">
        <w:rPr>
          <w:lang w:val="fr-FR"/>
        </w:rPr>
        <w:t>novembre 2010 pour se rendre à l</w:t>
      </w:r>
      <w:r w:rsidR="005C50CD" w:rsidRPr="005C50CD">
        <w:rPr>
          <w:lang w:val="fr-FR"/>
        </w:rPr>
        <w:t>’</w:t>
      </w:r>
      <w:r w:rsidRPr="005C50CD">
        <w:rPr>
          <w:lang w:val="fr-FR"/>
        </w:rPr>
        <w:t>hôpital pour faire constater ses blessures. Le fait d</w:t>
      </w:r>
      <w:r w:rsidR="005C50CD" w:rsidRPr="005C50CD">
        <w:rPr>
          <w:lang w:val="fr-FR"/>
        </w:rPr>
        <w:t>’</w:t>
      </w:r>
      <w:r w:rsidRPr="005C50CD">
        <w:rPr>
          <w:lang w:val="fr-FR"/>
        </w:rPr>
        <w:t>ailleurs qu</w:t>
      </w:r>
      <w:r w:rsidR="005C50CD" w:rsidRPr="005C50CD">
        <w:rPr>
          <w:lang w:val="fr-FR"/>
        </w:rPr>
        <w:t>’</w:t>
      </w:r>
      <w:r w:rsidRPr="005C50CD">
        <w:rPr>
          <w:lang w:val="fr-FR"/>
        </w:rPr>
        <w:t>il n</w:t>
      </w:r>
      <w:r w:rsidR="005C50CD" w:rsidRPr="005C50CD">
        <w:rPr>
          <w:lang w:val="fr-FR"/>
        </w:rPr>
        <w:t>’</w:t>
      </w:r>
      <w:r w:rsidRPr="005C50CD">
        <w:rPr>
          <w:lang w:val="fr-FR"/>
        </w:rPr>
        <w:t>ait consulté aucun médecin antérieurement jette, selon lui, un doute sur la réalité des souffrances endurées. Le Gouvernement considère que le certificat médical délivré ne permet pas d</w:t>
      </w:r>
      <w:r w:rsidR="005C50CD" w:rsidRPr="005C50CD">
        <w:rPr>
          <w:lang w:val="fr-FR"/>
        </w:rPr>
        <w:t>’</w:t>
      </w:r>
      <w:r w:rsidRPr="005C50CD">
        <w:rPr>
          <w:lang w:val="fr-FR"/>
        </w:rPr>
        <w:t>établir avec certitude que les cicatrices constatées sur le corps du requérant et les troubles psychologiques qu</w:t>
      </w:r>
      <w:r w:rsidR="005C50CD" w:rsidRPr="005C50CD">
        <w:rPr>
          <w:lang w:val="fr-FR"/>
        </w:rPr>
        <w:t>’</w:t>
      </w:r>
      <w:r w:rsidRPr="005C50CD">
        <w:rPr>
          <w:lang w:val="fr-FR"/>
        </w:rPr>
        <w:t>il présente soient liés aux violences subies pendant les détentions et ce, alors même que le requérant a été condamné en 2011 pour des faits de violence commis sur le territoire français.</w:t>
      </w:r>
    </w:p>
    <w:p w:rsidR="00576B6F"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45</w:t>
      </w:r>
      <w:r w:rsidRPr="005C50CD">
        <w:rPr>
          <w:lang w:val="fr-FR"/>
        </w:rPr>
        <w:fldChar w:fldCharType="end"/>
      </w:r>
      <w:r w:rsidRPr="005C50CD">
        <w:rPr>
          <w:lang w:val="fr-FR"/>
        </w:rPr>
        <w:t>.  S</w:t>
      </w:r>
      <w:r w:rsidR="005C50CD" w:rsidRPr="005C50CD">
        <w:rPr>
          <w:lang w:val="fr-FR"/>
        </w:rPr>
        <w:t>’</w:t>
      </w:r>
      <w:r w:rsidRPr="005C50CD">
        <w:rPr>
          <w:lang w:val="fr-FR"/>
        </w:rPr>
        <w:t>intéressant plus particulièrement aux conditions de départ du requérant, le Gouvernement trouve improbable le fait que le requérant ait quitté son pays en laissant son épouse qui avait pourtant été brutalisée et qui avait perdu son enfant. Il ne comprend pas non plus pourquoi le requérant dit avoir été alarmé par la convocation du ROUBOP. Ayant été précédemment relâché après avoir promis aux autorités de devenir l</w:t>
      </w:r>
      <w:r w:rsidR="005C50CD" w:rsidRPr="005C50CD">
        <w:rPr>
          <w:lang w:val="fr-FR"/>
        </w:rPr>
        <w:t>’</w:t>
      </w:r>
      <w:r w:rsidRPr="005C50CD">
        <w:rPr>
          <w:lang w:val="fr-FR"/>
        </w:rPr>
        <w:t>un de leurs indicateurs, le requérant ne pouvait donc pas craindre une telle convocation.</w:t>
      </w:r>
    </w:p>
    <w:p w:rsidR="005C50CD"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46</w:t>
      </w:r>
      <w:r w:rsidRPr="005C50CD">
        <w:rPr>
          <w:lang w:val="fr-FR"/>
        </w:rPr>
        <w:fldChar w:fldCharType="end"/>
      </w:r>
      <w:r w:rsidRPr="005C50CD">
        <w:rPr>
          <w:lang w:val="fr-FR"/>
        </w:rPr>
        <w:t>.  Le Gouvernement considère peu crédible le fait que le requérant attire encore l</w:t>
      </w:r>
      <w:r w:rsidR="005C50CD" w:rsidRPr="005C50CD">
        <w:rPr>
          <w:lang w:val="fr-FR"/>
        </w:rPr>
        <w:t>’</w:t>
      </w:r>
      <w:r w:rsidRPr="005C50CD">
        <w:rPr>
          <w:lang w:val="fr-FR"/>
        </w:rPr>
        <w:t>attention des autorités et fasse l</w:t>
      </w:r>
      <w:r w:rsidR="005C50CD" w:rsidRPr="005C50CD">
        <w:rPr>
          <w:lang w:val="fr-FR"/>
        </w:rPr>
        <w:t>’</w:t>
      </w:r>
      <w:r w:rsidRPr="005C50CD">
        <w:rPr>
          <w:lang w:val="fr-FR"/>
        </w:rPr>
        <w:t>objet de convocations plusieurs années après son départ. Il estime également douteux que son père soit la cible des autorités. Son père avait été arrêté le 3 novembre 2008 par des militaires venus à son domicile et</w:t>
      </w:r>
      <w:r w:rsidR="00A56CCB" w:rsidRPr="005C50CD">
        <w:rPr>
          <w:lang w:val="fr-FR"/>
        </w:rPr>
        <w:t>, dans deux attestations des 11 </w:t>
      </w:r>
      <w:r w:rsidRPr="005C50CD">
        <w:rPr>
          <w:lang w:val="fr-FR"/>
        </w:rPr>
        <w:t>septembre 2013 et 5 décembre 2014, il n</w:t>
      </w:r>
      <w:r w:rsidR="005C50CD" w:rsidRPr="005C50CD">
        <w:rPr>
          <w:lang w:val="fr-FR"/>
        </w:rPr>
        <w:t>’</w:t>
      </w:r>
      <w:r w:rsidRPr="005C50CD">
        <w:rPr>
          <w:lang w:val="fr-FR"/>
        </w:rPr>
        <w:t xml:space="preserve">apporte aucune explication à cette </w:t>
      </w:r>
      <w:r w:rsidR="0064194C" w:rsidRPr="005C50CD">
        <w:rPr>
          <w:lang w:val="fr-FR"/>
        </w:rPr>
        <w:t>arrestation</w:t>
      </w:r>
      <w:r w:rsidRPr="005C50CD">
        <w:rPr>
          <w:lang w:val="fr-FR"/>
        </w:rPr>
        <w:t>.</w:t>
      </w:r>
    </w:p>
    <w:p w:rsidR="00576B6F"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47</w:t>
      </w:r>
      <w:r w:rsidRPr="005C50CD">
        <w:rPr>
          <w:lang w:val="fr-FR"/>
        </w:rPr>
        <w:fldChar w:fldCharType="end"/>
      </w:r>
      <w:r w:rsidRPr="005C50CD">
        <w:rPr>
          <w:lang w:val="fr-FR"/>
        </w:rPr>
        <w:t>.  Le Gouvernement rappelle que l</w:t>
      </w:r>
      <w:r w:rsidR="005C50CD" w:rsidRPr="005C50CD">
        <w:rPr>
          <w:lang w:val="fr-FR"/>
        </w:rPr>
        <w:t>’</w:t>
      </w:r>
      <w:r w:rsidRPr="005C50CD">
        <w:rPr>
          <w:lang w:val="fr-FR"/>
        </w:rPr>
        <w:t>OFPRA et la CNDA ont examiné à plusieurs reprises les craintes alléguées par le requérant et les ont considérées infondées. Il en a été de même pour les demandes d</w:t>
      </w:r>
      <w:r w:rsidR="005C50CD" w:rsidRPr="005C50CD">
        <w:rPr>
          <w:lang w:val="fr-FR"/>
        </w:rPr>
        <w:t>’</w:t>
      </w:r>
      <w:r w:rsidRPr="005C50CD">
        <w:rPr>
          <w:lang w:val="fr-FR"/>
        </w:rPr>
        <w:t>asile prése</w:t>
      </w:r>
      <w:r w:rsidR="00A56CCB" w:rsidRPr="005C50CD">
        <w:rPr>
          <w:lang w:val="fr-FR"/>
        </w:rPr>
        <w:t xml:space="preserve">ntées par son épouse, sa tante </w:t>
      </w:r>
      <w:r w:rsidRPr="005C50CD">
        <w:rPr>
          <w:lang w:val="fr-FR"/>
        </w:rPr>
        <w:t>et sa mère. Quant à la sœur du requérant qui a obtenu le statut de réfugié</w:t>
      </w:r>
      <w:r w:rsidR="0064194C" w:rsidRPr="005C50CD">
        <w:rPr>
          <w:lang w:val="fr-FR"/>
        </w:rPr>
        <w:t>e</w:t>
      </w:r>
      <w:r w:rsidRPr="005C50CD">
        <w:rPr>
          <w:lang w:val="fr-FR"/>
        </w:rPr>
        <w:t>, le Gouvernement fait valoir que les motifs pour lesquels ce statut lui a été conféré ne sont pas connus. Il rappelle que le principe de l</w:t>
      </w:r>
      <w:r w:rsidR="005C50CD" w:rsidRPr="005C50CD">
        <w:rPr>
          <w:lang w:val="fr-FR"/>
        </w:rPr>
        <w:t>’</w:t>
      </w:r>
      <w:r w:rsidRPr="005C50CD">
        <w:rPr>
          <w:lang w:val="fr-FR"/>
        </w:rPr>
        <w:t>unité familiale ne joue pas entre les frères et sœurs et n</w:t>
      </w:r>
      <w:r w:rsidR="005C50CD" w:rsidRPr="005C50CD">
        <w:rPr>
          <w:lang w:val="fr-FR"/>
        </w:rPr>
        <w:t>’</w:t>
      </w:r>
      <w:r w:rsidRPr="005C50CD">
        <w:rPr>
          <w:lang w:val="fr-FR"/>
        </w:rPr>
        <w:t>a vocation à s</w:t>
      </w:r>
      <w:r w:rsidR="005C50CD" w:rsidRPr="005C50CD">
        <w:rPr>
          <w:lang w:val="fr-FR"/>
        </w:rPr>
        <w:t>’</w:t>
      </w:r>
      <w:r w:rsidRPr="005C50CD">
        <w:rPr>
          <w:lang w:val="fr-FR"/>
        </w:rPr>
        <w:t>appliquer</w:t>
      </w:r>
      <w:r w:rsidR="00A56CCB" w:rsidRPr="005C50CD">
        <w:rPr>
          <w:lang w:val="fr-FR"/>
        </w:rPr>
        <w:t xml:space="preserve"> qu</w:t>
      </w:r>
      <w:r w:rsidR="005C50CD" w:rsidRPr="005C50CD">
        <w:rPr>
          <w:lang w:val="fr-FR"/>
        </w:rPr>
        <w:t>’</w:t>
      </w:r>
      <w:r w:rsidR="00A56CCB" w:rsidRPr="005C50CD">
        <w:rPr>
          <w:lang w:val="fr-FR"/>
        </w:rPr>
        <w:t>au conjoint du réfugié</w:t>
      </w:r>
      <w:r w:rsidRPr="005C50CD">
        <w:rPr>
          <w:lang w:val="fr-FR"/>
        </w:rPr>
        <w:t xml:space="preserve"> statutaire et à ses enfants, à son concubin ou encore à l</w:t>
      </w:r>
      <w:r w:rsidR="005C50CD" w:rsidRPr="005C50CD">
        <w:rPr>
          <w:lang w:val="fr-FR"/>
        </w:rPr>
        <w:t>’</w:t>
      </w:r>
      <w:r w:rsidRPr="005C50CD">
        <w:rPr>
          <w:lang w:val="fr-FR"/>
        </w:rPr>
        <w:t>ascendant incapable et dépendant du réfugié.</w:t>
      </w:r>
    </w:p>
    <w:p w:rsidR="00576B6F" w:rsidRPr="005C50CD" w:rsidRDefault="003C2D84" w:rsidP="005C50CD">
      <w:pPr>
        <w:pStyle w:val="ECHRHeading3"/>
        <w:numPr>
          <w:ilvl w:val="0"/>
          <w:numId w:val="0"/>
        </w:numPr>
        <w:ind w:left="732" w:hanging="301"/>
        <w:rPr>
          <w:lang w:val="fr-FR"/>
        </w:rPr>
      </w:pPr>
      <w:r w:rsidRPr="005C50CD">
        <w:rPr>
          <w:lang w:val="fr-FR"/>
        </w:rPr>
        <w:lastRenderedPageBreak/>
        <w:t>2.  </w:t>
      </w:r>
      <w:r w:rsidR="00576B6F" w:rsidRPr="005C50CD">
        <w:rPr>
          <w:lang w:val="fr-FR"/>
        </w:rPr>
        <w:t>Appréciation de la Cour</w:t>
      </w:r>
    </w:p>
    <w:p w:rsidR="00576B6F" w:rsidRPr="005C50CD" w:rsidRDefault="003C2D84" w:rsidP="005C50CD">
      <w:pPr>
        <w:pStyle w:val="ECHRHeading4"/>
        <w:numPr>
          <w:ilvl w:val="0"/>
          <w:numId w:val="0"/>
        </w:numPr>
        <w:ind w:left="975" w:hanging="340"/>
        <w:rPr>
          <w:lang w:val="fr-FR"/>
        </w:rPr>
      </w:pPr>
      <w:r w:rsidRPr="005C50CD">
        <w:rPr>
          <w:lang w:val="fr-FR"/>
        </w:rPr>
        <w:t>a)  </w:t>
      </w:r>
      <w:r w:rsidR="00576B6F" w:rsidRPr="005C50CD">
        <w:rPr>
          <w:lang w:val="fr-FR"/>
        </w:rPr>
        <w:t>Principes généraux</w:t>
      </w:r>
    </w:p>
    <w:p w:rsidR="00576B6F"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48</w:t>
      </w:r>
      <w:r w:rsidRPr="005C50CD">
        <w:rPr>
          <w:lang w:val="fr-FR"/>
        </w:rPr>
        <w:fldChar w:fldCharType="end"/>
      </w:r>
      <w:r w:rsidRPr="005C50CD">
        <w:rPr>
          <w:lang w:val="fr-FR"/>
        </w:rPr>
        <w:t>.  La Cour se réfère aux principes applicables en la matière (</w:t>
      </w:r>
      <w:r w:rsidR="00721EDE" w:rsidRPr="005C50CD">
        <w:rPr>
          <w:i/>
          <w:iCs/>
          <w:lang w:val="fr-FR"/>
        </w:rPr>
        <w:t>Saadi c. </w:t>
      </w:r>
      <w:r w:rsidRPr="005C50CD">
        <w:rPr>
          <w:i/>
          <w:iCs/>
          <w:lang w:val="fr-FR"/>
        </w:rPr>
        <w:t>Italie</w:t>
      </w:r>
      <w:r w:rsidRPr="005C50CD">
        <w:rPr>
          <w:lang w:val="fr-FR"/>
        </w:rPr>
        <w:t xml:space="preserve"> [GC], n</w:t>
      </w:r>
      <w:r w:rsidR="00AE19D6" w:rsidRPr="005C50CD">
        <w:rPr>
          <w:vertAlign w:val="superscript"/>
          <w:lang w:val="fr-FR"/>
        </w:rPr>
        <w:t>o</w:t>
      </w:r>
      <w:r w:rsidRPr="005C50CD">
        <w:rPr>
          <w:lang w:val="fr-FR"/>
        </w:rPr>
        <w:t xml:space="preserve"> 3</w:t>
      </w:r>
      <w:r w:rsidR="00721EDE" w:rsidRPr="005C50CD">
        <w:rPr>
          <w:lang w:val="fr-FR"/>
        </w:rPr>
        <w:t>7201/06, §§ 124-125, CEDH 2008, et</w:t>
      </w:r>
      <w:r w:rsidRPr="005C50CD">
        <w:rPr>
          <w:lang w:val="fr-FR"/>
        </w:rPr>
        <w:t xml:space="preserve"> </w:t>
      </w:r>
      <w:r w:rsidR="00FC55E7" w:rsidRPr="005C50CD">
        <w:rPr>
          <w:i/>
          <w:iCs/>
          <w:lang w:val="fr-FR"/>
        </w:rPr>
        <w:t>M.S.S. c. </w:t>
      </w:r>
      <w:r w:rsidRPr="005C50CD">
        <w:rPr>
          <w:i/>
          <w:iCs/>
          <w:lang w:val="fr-FR"/>
        </w:rPr>
        <w:t>Belgique et Grèce</w:t>
      </w:r>
      <w:r w:rsidRPr="005C50CD">
        <w:rPr>
          <w:lang w:val="fr-FR"/>
        </w:rPr>
        <w:t xml:space="preserve"> [GC], n</w:t>
      </w:r>
      <w:r w:rsidR="00AE19D6" w:rsidRPr="005C50CD">
        <w:rPr>
          <w:vertAlign w:val="superscript"/>
          <w:lang w:val="fr-FR"/>
        </w:rPr>
        <w:t>o</w:t>
      </w:r>
      <w:r w:rsidRPr="005C50CD">
        <w:rPr>
          <w:lang w:val="fr-FR"/>
        </w:rPr>
        <w:t xml:space="preserve"> 30696/09, CEDH 2011).</w:t>
      </w:r>
    </w:p>
    <w:p w:rsidR="005C50CD"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49</w:t>
      </w:r>
      <w:r w:rsidRPr="005C50CD">
        <w:rPr>
          <w:lang w:val="fr-FR"/>
        </w:rPr>
        <w:fldChar w:fldCharType="end"/>
      </w:r>
      <w:r w:rsidRPr="005C50CD">
        <w:rPr>
          <w:lang w:val="fr-FR"/>
        </w:rPr>
        <w:t>.  En particulier, la Cour considère qu</w:t>
      </w:r>
      <w:r w:rsidR="005C50CD" w:rsidRPr="005C50CD">
        <w:rPr>
          <w:lang w:val="fr-FR"/>
        </w:rPr>
        <w:t>’</w:t>
      </w:r>
      <w:r w:rsidRPr="005C50CD">
        <w:rPr>
          <w:lang w:val="fr-FR"/>
        </w:rPr>
        <w:t>il appartient en principe au requérant de produire des éléments susceptibles de démontrer qu</w:t>
      </w:r>
      <w:r w:rsidR="005C50CD" w:rsidRPr="005C50CD">
        <w:rPr>
          <w:lang w:val="fr-FR"/>
        </w:rPr>
        <w:t>’</w:t>
      </w:r>
      <w:r w:rsidRPr="005C50CD">
        <w:rPr>
          <w:lang w:val="fr-FR"/>
        </w:rPr>
        <w:t>il serait exposé à un risque de traitements contraires à l</w:t>
      </w:r>
      <w:r w:rsidR="005C50CD" w:rsidRPr="005C50CD">
        <w:rPr>
          <w:lang w:val="fr-FR"/>
        </w:rPr>
        <w:t>’</w:t>
      </w:r>
      <w:r w:rsidRPr="005C50CD">
        <w:rPr>
          <w:lang w:val="fr-FR"/>
        </w:rPr>
        <w:t>article 3</w:t>
      </w:r>
      <w:r w:rsidR="00FF0B4A" w:rsidRPr="005C50CD">
        <w:rPr>
          <w:lang w:val="fr-FR"/>
        </w:rPr>
        <w:t xml:space="preserve"> si la mesure incriminée était mise à exécution (</w:t>
      </w:r>
      <w:r w:rsidR="00FF0B4A" w:rsidRPr="005C50CD">
        <w:rPr>
          <w:i/>
          <w:iCs/>
          <w:lang w:val="fr-FR"/>
        </w:rPr>
        <w:t>Saadi</w:t>
      </w:r>
      <w:r w:rsidR="00FF0B4A" w:rsidRPr="005C50CD">
        <w:rPr>
          <w:lang w:val="fr-FR"/>
        </w:rPr>
        <w:t>, précité, § 129). Sur ce point, la Cour reconnaît que, eu égard à la situation particulière dans laquelle se trouvent souvent les demandeurs d</w:t>
      </w:r>
      <w:r w:rsidR="005C50CD" w:rsidRPr="005C50CD">
        <w:rPr>
          <w:lang w:val="fr-FR"/>
        </w:rPr>
        <w:t>’</w:t>
      </w:r>
      <w:r w:rsidR="00FF0B4A" w:rsidRPr="005C50CD">
        <w:rPr>
          <w:lang w:val="fr-FR"/>
        </w:rPr>
        <w:t>asile, il est fréquemment nécessaire de leur accorder le bénéfice du doute lorsque l</w:t>
      </w:r>
      <w:r w:rsidR="005C50CD" w:rsidRPr="005C50CD">
        <w:rPr>
          <w:lang w:val="fr-FR"/>
        </w:rPr>
        <w:t>’</w:t>
      </w:r>
      <w:r w:rsidR="00FF0B4A" w:rsidRPr="005C50CD">
        <w:rPr>
          <w:lang w:val="fr-FR"/>
        </w:rPr>
        <w:t>on apprécie la crédibilité de leurs déclarations et des documents qui les appuient (</w:t>
      </w:r>
      <w:r w:rsidR="00FF0B4A" w:rsidRPr="005C50CD">
        <w:rPr>
          <w:i/>
          <w:iCs/>
          <w:lang w:val="fr-FR"/>
        </w:rPr>
        <w:t>F.G. c. Suède</w:t>
      </w:r>
      <w:r w:rsidR="00FF0B4A" w:rsidRPr="005C50CD">
        <w:rPr>
          <w:lang w:val="fr-FR"/>
        </w:rPr>
        <w:t xml:space="preserve"> [GC], n</w:t>
      </w:r>
      <w:r w:rsidR="00AE19D6" w:rsidRPr="005C50CD">
        <w:rPr>
          <w:vertAlign w:val="superscript"/>
          <w:lang w:val="fr-FR"/>
        </w:rPr>
        <w:t>o</w:t>
      </w:r>
      <w:r w:rsidR="00FF0B4A" w:rsidRPr="005C50CD">
        <w:rPr>
          <w:lang w:val="fr-FR"/>
        </w:rPr>
        <w:t> 43611/11, § 113, 23 mars 2016). Toutefois, lorsque des informations sont soumises qui donnent de bonnes raisons de douter de la véracité des déclarations du demandeur d</w:t>
      </w:r>
      <w:r w:rsidR="005C50CD" w:rsidRPr="005C50CD">
        <w:rPr>
          <w:lang w:val="fr-FR"/>
        </w:rPr>
        <w:t>’</w:t>
      </w:r>
      <w:r w:rsidR="00FF0B4A" w:rsidRPr="005C50CD">
        <w:rPr>
          <w:lang w:val="fr-FR"/>
        </w:rPr>
        <w:t xml:space="preserve">asile, il incombe à celui-ci de fournir une explication satisfaisante pour les incohérences de son récit (voir, notamment, </w:t>
      </w:r>
      <w:r w:rsidR="00FF0B4A" w:rsidRPr="005C50CD">
        <w:rPr>
          <w:i/>
          <w:iCs/>
          <w:lang w:val="fr-FR"/>
        </w:rPr>
        <w:t>N. c. Suède</w:t>
      </w:r>
      <w:r w:rsidR="00FF0B4A" w:rsidRPr="005C50CD">
        <w:rPr>
          <w:lang w:val="fr-FR"/>
        </w:rPr>
        <w:t>, n</w:t>
      </w:r>
      <w:r w:rsidR="00AE19D6" w:rsidRPr="005C50CD">
        <w:rPr>
          <w:vertAlign w:val="superscript"/>
          <w:lang w:val="fr-FR"/>
        </w:rPr>
        <w:t>o</w:t>
      </w:r>
      <w:r w:rsidR="00FF0B4A" w:rsidRPr="005C50CD">
        <w:rPr>
          <w:lang w:val="fr-FR"/>
        </w:rPr>
        <w:t xml:space="preserve"> 23505/09, 20 juillet 2010, </w:t>
      </w:r>
      <w:r w:rsidR="00FC55E7" w:rsidRPr="005C50CD">
        <w:rPr>
          <w:i/>
          <w:iCs/>
          <w:lang w:val="fr-FR"/>
        </w:rPr>
        <w:t>Hakizimana c. </w:t>
      </w:r>
      <w:r w:rsidR="00FF0B4A" w:rsidRPr="005C50CD">
        <w:rPr>
          <w:i/>
          <w:iCs/>
          <w:lang w:val="fr-FR"/>
        </w:rPr>
        <w:t>Suède</w:t>
      </w:r>
      <w:r w:rsidR="00FF0B4A" w:rsidRPr="005C50CD">
        <w:rPr>
          <w:lang w:val="fr-FR"/>
        </w:rPr>
        <w:t xml:space="preserve"> (déc.), n</w:t>
      </w:r>
      <w:r w:rsidR="00AE19D6" w:rsidRPr="005C50CD">
        <w:rPr>
          <w:vertAlign w:val="superscript"/>
          <w:lang w:val="fr-FR"/>
        </w:rPr>
        <w:t>o</w:t>
      </w:r>
      <w:r w:rsidR="005C50CD" w:rsidRPr="005C50CD">
        <w:rPr>
          <w:lang w:val="fr-FR"/>
        </w:rPr>
        <w:t> </w:t>
      </w:r>
      <w:r w:rsidR="00FF0B4A" w:rsidRPr="005C50CD">
        <w:rPr>
          <w:lang w:val="fr-FR"/>
        </w:rPr>
        <w:t xml:space="preserve">37913/05, 27 mars 2008, et </w:t>
      </w:r>
      <w:r w:rsidR="00FF0B4A" w:rsidRPr="005C50CD">
        <w:rPr>
          <w:i/>
          <w:iCs/>
          <w:lang w:val="fr-FR"/>
        </w:rPr>
        <w:t>Collins et Akaziebie c. Suède</w:t>
      </w:r>
      <w:r w:rsidR="00FF0B4A" w:rsidRPr="005C50CD">
        <w:rPr>
          <w:lang w:val="fr-FR"/>
        </w:rPr>
        <w:t xml:space="preserve"> (déc.), n</w:t>
      </w:r>
      <w:r w:rsidR="00AE19D6" w:rsidRPr="005C50CD">
        <w:rPr>
          <w:vertAlign w:val="superscript"/>
          <w:lang w:val="fr-FR"/>
        </w:rPr>
        <w:t>o</w:t>
      </w:r>
      <w:r w:rsidR="00FC55E7" w:rsidRPr="005C50CD">
        <w:rPr>
          <w:lang w:val="fr-FR"/>
        </w:rPr>
        <w:t> </w:t>
      </w:r>
      <w:r w:rsidR="00FF0B4A" w:rsidRPr="005C50CD">
        <w:rPr>
          <w:lang w:val="fr-FR"/>
        </w:rPr>
        <w:t xml:space="preserve">23944/05, 8 mars 2007). La Cour </w:t>
      </w:r>
      <w:r w:rsidR="00C67BD6" w:rsidRPr="005C50CD">
        <w:rPr>
          <w:lang w:val="fr-FR"/>
        </w:rPr>
        <w:t>rappelle également que lorsqu</w:t>
      </w:r>
      <w:r w:rsidR="005C50CD" w:rsidRPr="005C50CD">
        <w:rPr>
          <w:lang w:val="fr-FR"/>
        </w:rPr>
        <w:t>’</w:t>
      </w:r>
      <w:r w:rsidR="00C67BD6" w:rsidRPr="005C50CD">
        <w:rPr>
          <w:lang w:val="fr-FR"/>
        </w:rPr>
        <w:t>il y a eu une procédure interne, il n</w:t>
      </w:r>
      <w:r w:rsidR="005C50CD" w:rsidRPr="005C50CD">
        <w:rPr>
          <w:lang w:val="fr-FR"/>
        </w:rPr>
        <w:t>’</w:t>
      </w:r>
      <w:r w:rsidR="00C67BD6" w:rsidRPr="005C50CD">
        <w:rPr>
          <w:lang w:val="fr-FR"/>
        </w:rPr>
        <w:t>entre</w:t>
      </w:r>
      <w:r w:rsidR="00FF0B4A" w:rsidRPr="005C50CD">
        <w:rPr>
          <w:lang w:val="fr-FR"/>
        </w:rPr>
        <w:t>, en principe, pas dans s</w:t>
      </w:r>
      <w:r w:rsidR="00C67BD6" w:rsidRPr="005C50CD">
        <w:rPr>
          <w:lang w:val="fr-FR"/>
        </w:rPr>
        <w:t>es attributions de substituer sa propre vision des faits à celle des cours et tribunaux internes, auxquels il appartient en principe de peser les données recueillies par eux (</w:t>
      </w:r>
      <w:r w:rsidR="00FF0B4A" w:rsidRPr="005C50CD">
        <w:rPr>
          <w:i/>
          <w:iCs/>
          <w:lang w:val="fr-FR"/>
        </w:rPr>
        <w:t>F.G.</w:t>
      </w:r>
      <w:r w:rsidR="0093019F" w:rsidRPr="005C50CD">
        <w:rPr>
          <w:i/>
          <w:iCs/>
          <w:lang w:val="fr-FR"/>
        </w:rPr>
        <w:t>c. Suède</w:t>
      </w:r>
      <w:r w:rsidR="00C67BD6" w:rsidRPr="005C50CD">
        <w:rPr>
          <w:lang w:val="fr-FR"/>
        </w:rPr>
        <w:t>,</w:t>
      </w:r>
      <w:r w:rsidR="00FF0B4A" w:rsidRPr="005C50CD">
        <w:rPr>
          <w:lang w:val="fr-FR"/>
        </w:rPr>
        <w:t xml:space="preserve"> précité,</w:t>
      </w:r>
      <w:r w:rsidR="00C67BD6" w:rsidRPr="005C50CD">
        <w:rPr>
          <w:lang w:val="fr-FR"/>
        </w:rPr>
        <w:t xml:space="preserve"> § 118).</w:t>
      </w:r>
    </w:p>
    <w:p w:rsidR="00576B6F"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50</w:t>
      </w:r>
      <w:r w:rsidRPr="005C50CD">
        <w:rPr>
          <w:lang w:val="fr-FR"/>
        </w:rPr>
        <w:fldChar w:fldCharType="end"/>
      </w:r>
      <w:r w:rsidRPr="005C50CD">
        <w:rPr>
          <w:lang w:val="fr-FR"/>
        </w:rPr>
        <w:t>.  En outre, l</w:t>
      </w:r>
      <w:r w:rsidR="005C50CD" w:rsidRPr="005C50CD">
        <w:rPr>
          <w:lang w:val="fr-FR"/>
        </w:rPr>
        <w:t>’</w:t>
      </w:r>
      <w:r w:rsidRPr="005C50CD">
        <w:rPr>
          <w:lang w:val="fr-FR"/>
        </w:rPr>
        <w:t>existence d</w:t>
      </w:r>
      <w:r w:rsidR="005C50CD" w:rsidRPr="005C50CD">
        <w:rPr>
          <w:lang w:val="fr-FR"/>
        </w:rPr>
        <w:t>’</w:t>
      </w:r>
      <w:r w:rsidRPr="005C50CD">
        <w:rPr>
          <w:lang w:val="fr-FR"/>
        </w:rPr>
        <w:t>un risque de mauvais traitements doit être examinée à la lumière de la situation générale dans le pays de renvoi et des circonstances propres au cas de l</w:t>
      </w:r>
      <w:r w:rsidR="005C50CD" w:rsidRPr="005C50CD">
        <w:rPr>
          <w:lang w:val="fr-FR"/>
        </w:rPr>
        <w:t>’</w:t>
      </w:r>
      <w:r w:rsidRPr="005C50CD">
        <w:rPr>
          <w:lang w:val="fr-FR"/>
        </w:rPr>
        <w:t>intéressé. Lorsque les sources dont la Cour dispose décrivent une situation générale, les allégations spécifiques du requérant doivent être corroborées par d</w:t>
      </w:r>
      <w:r w:rsidR="005C50CD" w:rsidRPr="005C50CD">
        <w:rPr>
          <w:lang w:val="fr-FR"/>
        </w:rPr>
        <w:t>’</w:t>
      </w:r>
      <w:r w:rsidRPr="005C50CD">
        <w:rPr>
          <w:lang w:val="fr-FR"/>
        </w:rPr>
        <w:t>autres éléments de preuve (</w:t>
      </w:r>
      <w:r w:rsidRPr="005C50CD">
        <w:rPr>
          <w:i/>
          <w:iCs/>
          <w:lang w:val="fr-FR"/>
        </w:rPr>
        <w:t>Saadi</w:t>
      </w:r>
      <w:r w:rsidRPr="005C50CD">
        <w:rPr>
          <w:lang w:val="fr-FR"/>
        </w:rPr>
        <w:t>, précité, §§ 130-131).</w:t>
      </w:r>
    </w:p>
    <w:p w:rsidR="00344453"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51</w:t>
      </w:r>
      <w:r w:rsidRPr="005C50CD">
        <w:rPr>
          <w:lang w:val="fr-FR"/>
        </w:rPr>
        <w:fldChar w:fldCharType="end"/>
      </w:r>
      <w:r w:rsidRPr="005C50CD">
        <w:rPr>
          <w:lang w:val="fr-FR"/>
        </w:rPr>
        <w:t>.  Enfin, s</w:t>
      </w:r>
      <w:r w:rsidR="005C50CD" w:rsidRPr="005C50CD">
        <w:rPr>
          <w:lang w:val="fr-FR"/>
        </w:rPr>
        <w:t>’</w:t>
      </w:r>
      <w:r w:rsidRPr="005C50CD">
        <w:rPr>
          <w:lang w:val="fr-FR"/>
        </w:rPr>
        <w:t>il convient de se référer en priorité aux circonstances dont l</w:t>
      </w:r>
      <w:r w:rsidR="005C50CD" w:rsidRPr="005C50CD">
        <w:rPr>
          <w:lang w:val="fr-FR"/>
        </w:rPr>
        <w:t>’</w:t>
      </w:r>
      <w:r w:rsidRPr="005C50CD">
        <w:rPr>
          <w:lang w:val="fr-FR"/>
        </w:rPr>
        <w:t>État en cause avait connaissance au moment de l</w:t>
      </w:r>
      <w:r w:rsidR="005C50CD" w:rsidRPr="005C50CD">
        <w:rPr>
          <w:lang w:val="fr-FR"/>
        </w:rPr>
        <w:t>’</w:t>
      </w:r>
      <w:r w:rsidRPr="005C50CD">
        <w:rPr>
          <w:lang w:val="fr-FR"/>
        </w:rPr>
        <w:t>expulsion, la date à prendre en compte pour l</w:t>
      </w:r>
      <w:r w:rsidR="005C50CD" w:rsidRPr="005C50CD">
        <w:rPr>
          <w:lang w:val="fr-FR"/>
        </w:rPr>
        <w:t>’</w:t>
      </w:r>
      <w:r w:rsidRPr="005C50CD">
        <w:rPr>
          <w:lang w:val="fr-FR"/>
        </w:rPr>
        <w:t>examen du risque encouru est celle de la date de l</w:t>
      </w:r>
      <w:r w:rsidR="005C50CD" w:rsidRPr="005C50CD">
        <w:rPr>
          <w:lang w:val="fr-FR"/>
        </w:rPr>
        <w:t>’</w:t>
      </w:r>
      <w:r w:rsidRPr="005C50CD">
        <w:rPr>
          <w:lang w:val="fr-FR"/>
        </w:rPr>
        <w:t>examen de l</w:t>
      </w:r>
      <w:r w:rsidR="005C50CD" w:rsidRPr="005C50CD">
        <w:rPr>
          <w:lang w:val="fr-FR"/>
        </w:rPr>
        <w:t>’</w:t>
      </w:r>
      <w:r w:rsidRPr="005C50CD">
        <w:rPr>
          <w:lang w:val="fr-FR"/>
        </w:rPr>
        <w:t>affaire par la Cour (</w:t>
      </w:r>
      <w:r w:rsidRPr="005C50CD">
        <w:rPr>
          <w:i/>
          <w:iCs/>
          <w:lang w:val="fr-FR"/>
        </w:rPr>
        <w:t>Chahal c. Royaume-Uni</w:t>
      </w:r>
      <w:r w:rsidR="00E97DF8" w:rsidRPr="005C50CD">
        <w:rPr>
          <w:lang w:val="fr-FR"/>
        </w:rPr>
        <w:t>, 15 </w:t>
      </w:r>
      <w:r w:rsidRPr="005C50CD">
        <w:rPr>
          <w:lang w:val="fr-FR"/>
        </w:rPr>
        <w:t xml:space="preserve">novembre 1996, § 86, </w:t>
      </w:r>
      <w:r w:rsidRPr="005C50CD">
        <w:rPr>
          <w:i/>
          <w:lang w:val="fr-FR"/>
        </w:rPr>
        <w:t>Recueil</w:t>
      </w:r>
      <w:r w:rsidRPr="005C50CD">
        <w:rPr>
          <w:lang w:val="fr-FR"/>
        </w:rPr>
        <w:t xml:space="preserve"> 1996 V</w:t>
      </w:r>
      <w:r w:rsidR="003E76AA" w:rsidRPr="005C50CD">
        <w:rPr>
          <w:lang w:val="fr-FR"/>
        </w:rPr>
        <w:t xml:space="preserve">, </w:t>
      </w:r>
      <w:r w:rsidR="003E76AA" w:rsidRPr="005C50CD">
        <w:rPr>
          <w:i/>
          <w:iCs/>
          <w:lang w:val="fr-FR"/>
        </w:rPr>
        <w:t>F.G.</w:t>
      </w:r>
      <w:r w:rsidR="0093019F" w:rsidRPr="005C50CD">
        <w:rPr>
          <w:i/>
          <w:iCs/>
          <w:lang w:val="fr-FR"/>
        </w:rPr>
        <w:t>c. Suède</w:t>
      </w:r>
      <w:r w:rsidR="003E76AA" w:rsidRPr="005C50CD">
        <w:rPr>
          <w:i/>
          <w:iCs/>
          <w:lang w:val="fr-FR"/>
        </w:rPr>
        <w:t xml:space="preserve"> </w:t>
      </w:r>
      <w:r w:rsidR="003E76AA" w:rsidRPr="005C50CD">
        <w:rPr>
          <w:lang w:val="fr-FR"/>
        </w:rPr>
        <w:t>précité, § 115</w:t>
      </w:r>
      <w:r w:rsidRPr="005C50CD">
        <w:rPr>
          <w:lang w:val="fr-FR"/>
        </w:rPr>
        <w:t>).</w:t>
      </w:r>
    </w:p>
    <w:p w:rsidR="00576B6F" w:rsidRPr="005C50CD" w:rsidRDefault="0038651E" w:rsidP="005C50CD">
      <w:pPr>
        <w:pStyle w:val="ECHRHeading4"/>
        <w:numPr>
          <w:ilvl w:val="0"/>
          <w:numId w:val="0"/>
        </w:numPr>
        <w:ind w:left="975" w:hanging="340"/>
        <w:rPr>
          <w:lang w:val="fr-FR"/>
        </w:rPr>
      </w:pPr>
      <w:r w:rsidRPr="005C50CD">
        <w:rPr>
          <w:lang w:val="fr-FR"/>
        </w:rPr>
        <w:t>b)  </w:t>
      </w:r>
      <w:r w:rsidR="00576B6F" w:rsidRPr="005C50CD">
        <w:rPr>
          <w:lang w:val="fr-FR"/>
        </w:rPr>
        <w:t>Application de ces principes au cas d</w:t>
      </w:r>
      <w:r w:rsidR="005C50CD" w:rsidRPr="005C50CD">
        <w:rPr>
          <w:lang w:val="fr-FR"/>
        </w:rPr>
        <w:t>’</w:t>
      </w:r>
      <w:r w:rsidR="00576B6F" w:rsidRPr="005C50CD">
        <w:rPr>
          <w:lang w:val="fr-FR"/>
        </w:rPr>
        <w:t>espèce</w:t>
      </w:r>
    </w:p>
    <w:p w:rsidR="00576B6F" w:rsidRPr="005C50CD" w:rsidRDefault="00344453"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52</w:t>
      </w:r>
      <w:r w:rsidRPr="005C50CD">
        <w:rPr>
          <w:lang w:val="fr-FR"/>
        </w:rPr>
        <w:fldChar w:fldCharType="end"/>
      </w:r>
      <w:r w:rsidRPr="005C50CD">
        <w:rPr>
          <w:lang w:val="fr-FR"/>
        </w:rPr>
        <w:t>.  </w:t>
      </w:r>
      <w:r w:rsidR="00576B6F" w:rsidRPr="005C50CD">
        <w:rPr>
          <w:lang w:val="fr-FR"/>
        </w:rPr>
        <w:t xml:space="preserve">Concernant la situation générale dans la région du Nord Caucase, dans son arrêt </w:t>
      </w:r>
      <w:r w:rsidR="00576B6F" w:rsidRPr="005C50CD">
        <w:rPr>
          <w:i/>
          <w:iCs/>
          <w:lang w:val="fr-FR"/>
        </w:rPr>
        <w:t>M.V. et M.T. c. France</w:t>
      </w:r>
      <w:r w:rsidR="00576B6F" w:rsidRPr="005C50CD">
        <w:rPr>
          <w:lang w:val="fr-FR"/>
        </w:rPr>
        <w:t xml:space="preserve"> (précité, § 39), la Cour a constaté que, bien que soient rapportées de graves violations des droits de l</w:t>
      </w:r>
      <w:r w:rsidR="005C50CD" w:rsidRPr="005C50CD">
        <w:rPr>
          <w:lang w:val="fr-FR"/>
        </w:rPr>
        <w:t>’</w:t>
      </w:r>
      <w:r w:rsidR="00576B6F" w:rsidRPr="005C50CD">
        <w:rPr>
          <w:lang w:val="fr-FR"/>
        </w:rPr>
        <w:t>homme en Tchétchénie, la situation n</w:t>
      </w:r>
      <w:r w:rsidR="005C50CD" w:rsidRPr="005C50CD">
        <w:rPr>
          <w:lang w:val="fr-FR"/>
        </w:rPr>
        <w:t>’</w:t>
      </w:r>
      <w:r w:rsidR="00576B6F" w:rsidRPr="005C50CD">
        <w:rPr>
          <w:lang w:val="fr-FR"/>
        </w:rPr>
        <w:t>était pas telle que tout renvoi en Fédération de Russie constituerait une violation de l</w:t>
      </w:r>
      <w:r w:rsidR="005C50CD" w:rsidRPr="005C50CD">
        <w:rPr>
          <w:lang w:val="fr-FR"/>
        </w:rPr>
        <w:t>’</w:t>
      </w:r>
      <w:r w:rsidR="00576B6F" w:rsidRPr="005C50CD">
        <w:rPr>
          <w:lang w:val="fr-FR"/>
        </w:rPr>
        <w:t>article 3 de la Convention.</w:t>
      </w:r>
    </w:p>
    <w:p w:rsidR="00576B6F" w:rsidRPr="005C50CD" w:rsidRDefault="00576B6F" w:rsidP="005C50CD">
      <w:pPr>
        <w:pStyle w:val="ECHRPara"/>
        <w:rPr>
          <w:lang w:val="fr-FR"/>
        </w:rPr>
      </w:pPr>
      <w:r w:rsidRPr="005C50CD">
        <w:rPr>
          <w:lang w:val="fr-FR"/>
        </w:rPr>
        <w:lastRenderedPageBreak/>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53</w:t>
      </w:r>
      <w:r w:rsidRPr="005C50CD">
        <w:rPr>
          <w:lang w:val="fr-FR"/>
        </w:rPr>
        <w:fldChar w:fldCharType="end"/>
      </w:r>
      <w:r w:rsidRPr="005C50CD">
        <w:rPr>
          <w:lang w:val="fr-FR"/>
        </w:rPr>
        <w:t>.  À cet égard, la Cour rappelle qu</w:t>
      </w:r>
      <w:r w:rsidR="005C50CD" w:rsidRPr="005C50CD">
        <w:rPr>
          <w:lang w:val="fr-FR"/>
        </w:rPr>
        <w:t>’</w:t>
      </w:r>
      <w:r w:rsidRPr="005C50CD">
        <w:rPr>
          <w:lang w:val="fr-FR"/>
        </w:rPr>
        <w:t>il ressort des rapports internationaux que sont particulièrement à risque certaines catégories de la population du Nord Caucase et plus spécialement de Tchétchénie, d</w:t>
      </w:r>
      <w:r w:rsidR="005C50CD" w:rsidRPr="005C50CD">
        <w:rPr>
          <w:lang w:val="fr-FR"/>
        </w:rPr>
        <w:t>’</w:t>
      </w:r>
      <w:r w:rsidRPr="005C50CD">
        <w:rPr>
          <w:lang w:val="fr-FR"/>
        </w:rPr>
        <w:t>Ingouchie ou du Daghestan, telles que les membres de la lutte armée de résistance tchétchène, les personnes considérées par les autorités comme tels, leurs proches, les personnes les ayant assistés d</w:t>
      </w:r>
      <w:r w:rsidR="005C50CD" w:rsidRPr="005C50CD">
        <w:rPr>
          <w:lang w:val="fr-FR"/>
        </w:rPr>
        <w:t>’</w:t>
      </w:r>
      <w:r w:rsidRPr="005C50CD">
        <w:rPr>
          <w:lang w:val="fr-FR"/>
        </w:rPr>
        <w:t>une manière ou d</w:t>
      </w:r>
      <w:r w:rsidR="005C50CD" w:rsidRPr="005C50CD">
        <w:rPr>
          <w:lang w:val="fr-FR"/>
        </w:rPr>
        <w:t>’</w:t>
      </w:r>
      <w:r w:rsidRPr="005C50CD">
        <w:rPr>
          <w:lang w:val="fr-FR"/>
        </w:rPr>
        <w:t>une autre ainsi que les civils contraints par les autorités à collaborer avec elles. Dans ce contexte, comme la Cour l</w:t>
      </w:r>
      <w:r w:rsidR="005C50CD" w:rsidRPr="005C50CD">
        <w:rPr>
          <w:lang w:val="fr-FR"/>
        </w:rPr>
        <w:t>’</w:t>
      </w:r>
      <w:r w:rsidRPr="005C50CD">
        <w:rPr>
          <w:lang w:val="fr-FR"/>
        </w:rPr>
        <w:t>a rappelé dans l</w:t>
      </w:r>
      <w:r w:rsidR="005C50CD" w:rsidRPr="005C50CD">
        <w:rPr>
          <w:lang w:val="fr-FR"/>
        </w:rPr>
        <w:t>’</w:t>
      </w:r>
      <w:r w:rsidRPr="005C50CD">
        <w:rPr>
          <w:lang w:val="fr-FR"/>
        </w:rPr>
        <w:t xml:space="preserve">arrêt </w:t>
      </w:r>
      <w:r w:rsidR="0038651E" w:rsidRPr="005C50CD">
        <w:rPr>
          <w:i/>
          <w:iCs/>
          <w:lang w:val="fr-FR"/>
        </w:rPr>
        <w:t>M.V. et M.T. c. </w:t>
      </w:r>
      <w:r w:rsidRPr="005C50CD">
        <w:rPr>
          <w:i/>
          <w:iCs/>
          <w:lang w:val="fr-FR"/>
        </w:rPr>
        <w:t>France</w:t>
      </w:r>
      <w:r w:rsidRPr="005C50CD">
        <w:rPr>
          <w:lang w:val="fr-FR"/>
        </w:rPr>
        <w:t xml:space="preserve"> (précité, § 40), l</w:t>
      </w:r>
      <w:r w:rsidR="005C50CD" w:rsidRPr="005C50CD">
        <w:rPr>
          <w:lang w:val="fr-FR"/>
        </w:rPr>
        <w:t>’</w:t>
      </w:r>
      <w:r w:rsidRPr="005C50CD">
        <w:rPr>
          <w:lang w:val="fr-FR"/>
        </w:rPr>
        <w:t>appréciation du risque pour un requérant doit se faire sur une base individuelle, mais en ayant à l</w:t>
      </w:r>
      <w:r w:rsidR="005C50CD" w:rsidRPr="005C50CD">
        <w:rPr>
          <w:lang w:val="fr-FR"/>
        </w:rPr>
        <w:t>’</w:t>
      </w:r>
      <w:r w:rsidRPr="005C50CD">
        <w:rPr>
          <w:lang w:val="fr-FR"/>
        </w:rPr>
        <w:t>esprit le fait que les personnes présentant un profil correspondant à l</w:t>
      </w:r>
      <w:r w:rsidR="005C50CD" w:rsidRPr="005C50CD">
        <w:rPr>
          <w:lang w:val="fr-FR"/>
        </w:rPr>
        <w:t>’</w:t>
      </w:r>
      <w:r w:rsidRPr="005C50CD">
        <w:rPr>
          <w:lang w:val="fr-FR"/>
        </w:rPr>
        <w:t>une des catégories susmentionnées sont plus susceptibles que les autres d</w:t>
      </w:r>
      <w:r w:rsidR="005C50CD" w:rsidRPr="005C50CD">
        <w:rPr>
          <w:lang w:val="fr-FR"/>
        </w:rPr>
        <w:t>’</w:t>
      </w:r>
      <w:r w:rsidRPr="005C50CD">
        <w:rPr>
          <w:lang w:val="fr-FR"/>
        </w:rPr>
        <w:t>attirer l</w:t>
      </w:r>
      <w:r w:rsidR="005C50CD" w:rsidRPr="005C50CD">
        <w:rPr>
          <w:lang w:val="fr-FR"/>
        </w:rPr>
        <w:t>’</w:t>
      </w:r>
      <w:r w:rsidRPr="005C50CD">
        <w:rPr>
          <w:lang w:val="fr-FR"/>
        </w:rPr>
        <w:t>attention défavorable des autorités.</w:t>
      </w:r>
    </w:p>
    <w:p w:rsidR="00576B6F"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54</w:t>
      </w:r>
      <w:r w:rsidRPr="005C50CD">
        <w:rPr>
          <w:lang w:val="fr-FR"/>
        </w:rPr>
        <w:fldChar w:fldCharType="end"/>
      </w:r>
      <w:r w:rsidRPr="005C50CD">
        <w:rPr>
          <w:lang w:val="fr-FR"/>
        </w:rPr>
        <w:t>.  La Cour ne voit pas de raison de se départir d</w:t>
      </w:r>
      <w:r w:rsidR="005C50CD" w:rsidRPr="005C50CD">
        <w:rPr>
          <w:lang w:val="fr-FR"/>
        </w:rPr>
        <w:t>’</w:t>
      </w:r>
      <w:r w:rsidRPr="005C50CD">
        <w:rPr>
          <w:lang w:val="fr-FR"/>
        </w:rPr>
        <w:t>une telle conclusion. Elle doit donc déterminer si le renvoi d</w:t>
      </w:r>
      <w:r w:rsidR="005C50CD" w:rsidRPr="005C50CD">
        <w:rPr>
          <w:lang w:val="fr-FR"/>
        </w:rPr>
        <w:t>’</w:t>
      </w:r>
      <w:r w:rsidRPr="005C50CD">
        <w:rPr>
          <w:lang w:val="fr-FR"/>
        </w:rPr>
        <w:t>un requérant en Fédération de Russie entraînerait, dans le cas particulier de l</w:t>
      </w:r>
      <w:r w:rsidR="005C50CD" w:rsidRPr="005C50CD">
        <w:rPr>
          <w:lang w:val="fr-FR"/>
        </w:rPr>
        <w:t>’</w:t>
      </w:r>
      <w:r w:rsidRPr="005C50CD">
        <w:rPr>
          <w:lang w:val="fr-FR"/>
        </w:rPr>
        <w:t>espèce, un risque réel de mauvais traitements au sens de l</w:t>
      </w:r>
      <w:r w:rsidR="005C50CD" w:rsidRPr="005C50CD">
        <w:rPr>
          <w:lang w:val="fr-FR"/>
        </w:rPr>
        <w:t>’</w:t>
      </w:r>
      <w:r w:rsidRPr="005C50CD">
        <w:rPr>
          <w:lang w:val="fr-FR"/>
        </w:rPr>
        <w:t>article 3 de la Convention.</w:t>
      </w:r>
    </w:p>
    <w:p w:rsidR="005C50CD"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55</w:t>
      </w:r>
      <w:r w:rsidRPr="005C50CD">
        <w:rPr>
          <w:lang w:val="fr-FR"/>
        </w:rPr>
        <w:fldChar w:fldCharType="end"/>
      </w:r>
      <w:r w:rsidRPr="005C50CD">
        <w:rPr>
          <w:lang w:val="fr-FR"/>
        </w:rPr>
        <w:t>.  En l</w:t>
      </w:r>
      <w:r w:rsidR="005C50CD" w:rsidRPr="005C50CD">
        <w:rPr>
          <w:lang w:val="fr-FR"/>
        </w:rPr>
        <w:t>’</w:t>
      </w:r>
      <w:r w:rsidRPr="005C50CD">
        <w:rPr>
          <w:lang w:val="fr-FR"/>
        </w:rPr>
        <w:t xml:space="preserve">espèce, le requérant allègue avoir été détenu et torturé à plusieurs reprises en raison de ses liens avec un membre de la rébellion tchétchène, </w:t>
      </w:r>
      <w:r w:rsidR="007B30DC" w:rsidRPr="005C50CD">
        <w:rPr>
          <w:lang w:val="fr-FR"/>
        </w:rPr>
        <w:t>et</w:t>
      </w:r>
      <w:r w:rsidRPr="005C50CD">
        <w:rPr>
          <w:lang w:val="fr-FR"/>
        </w:rPr>
        <w:t xml:space="preserve"> dit être toujours recherché par les autorités.</w:t>
      </w:r>
    </w:p>
    <w:p w:rsidR="00495572"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56</w:t>
      </w:r>
      <w:r w:rsidRPr="005C50CD">
        <w:rPr>
          <w:lang w:val="fr-FR"/>
        </w:rPr>
        <w:fldChar w:fldCharType="end"/>
      </w:r>
      <w:r w:rsidRPr="005C50CD">
        <w:rPr>
          <w:lang w:val="fr-FR"/>
        </w:rPr>
        <w:t xml:space="preserve">.  La Cour constate que le requérant présente un récit </w:t>
      </w:r>
      <w:r w:rsidR="00216D7C" w:rsidRPr="005C50CD">
        <w:rPr>
          <w:lang w:val="fr-FR"/>
        </w:rPr>
        <w:t>circonstancié,</w:t>
      </w:r>
      <w:r w:rsidRPr="005C50CD">
        <w:rPr>
          <w:lang w:val="fr-FR"/>
        </w:rPr>
        <w:t xml:space="preserve"> crédible au regard des données internationales disponibles</w:t>
      </w:r>
      <w:r w:rsidR="00216D7C" w:rsidRPr="005C50CD">
        <w:rPr>
          <w:lang w:val="fr-FR"/>
        </w:rPr>
        <w:t xml:space="preserve"> et étayé par de nombreuses pièces documentaires. Elle relève</w:t>
      </w:r>
      <w:r w:rsidR="00F53999" w:rsidRPr="005C50CD">
        <w:rPr>
          <w:lang w:val="fr-FR"/>
        </w:rPr>
        <w:t>, en particulier,</w:t>
      </w:r>
      <w:r w:rsidR="00216D7C" w:rsidRPr="005C50CD">
        <w:rPr>
          <w:lang w:val="fr-FR"/>
        </w:rPr>
        <w:t xml:space="preserve"> </w:t>
      </w:r>
      <w:r w:rsidR="006F63F9" w:rsidRPr="005C50CD">
        <w:rPr>
          <w:lang w:val="fr-FR"/>
        </w:rPr>
        <w:t>qu</w:t>
      </w:r>
      <w:r w:rsidR="005C50CD" w:rsidRPr="005C50CD">
        <w:rPr>
          <w:lang w:val="fr-FR"/>
        </w:rPr>
        <w:t>’</w:t>
      </w:r>
      <w:r w:rsidR="006F63F9" w:rsidRPr="005C50CD">
        <w:rPr>
          <w:lang w:val="fr-FR"/>
        </w:rPr>
        <w:t xml:space="preserve">il verse aux débats </w:t>
      </w:r>
      <w:r w:rsidR="00216D7C" w:rsidRPr="005C50CD">
        <w:rPr>
          <w:lang w:val="fr-FR"/>
        </w:rPr>
        <w:t xml:space="preserve">un certificat médical du 29 novembre 2010, rédigé par un médecin légiste, qui relève la présence de </w:t>
      </w:r>
      <w:r w:rsidR="00855315" w:rsidRPr="005C50CD">
        <w:rPr>
          <w:lang w:val="fr-FR"/>
        </w:rPr>
        <w:t>plusieurs</w:t>
      </w:r>
      <w:r w:rsidR="00216D7C" w:rsidRPr="005C50CD">
        <w:rPr>
          <w:lang w:val="fr-FR"/>
        </w:rPr>
        <w:t xml:space="preserve"> cicatrices sur </w:t>
      </w:r>
      <w:r w:rsidR="00624D58" w:rsidRPr="005C50CD">
        <w:rPr>
          <w:lang w:val="fr-FR"/>
        </w:rPr>
        <w:t>son</w:t>
      </w:r>
      <w:r w:rsidR="00216D7C" w:rsidRPr="005C50CD">
        <w:rPr>
          <w:lang w:val="fr-FR"/>
        </w:rPr>
        <w:t xml:space="preserve"> corps et qui déclare que ces lésions sont compatibles avec les sévices rapportés. </w:t>
      </w:r>
      <w:r w:rsidR="00F53999" w:rsidRPr="005C50CD">
        <w:rPr>
          <w:lang w:val="fr-FR"/>
        </w:rPr>
        <w:t>La Cour estime c</w:t>
      </w:r>
      <w:r w:rsidR="006F63F9" w:rsidRPr="005C50CD">
        <w:rPr>
          <w:lang w:val="fr-FR"/>
        </w:rPr>
        <w:t>et élément suffisant</w:t>
      </w:r>
      <w:r w:rsidR="00F53999" w:rsidRPr="005C50CD">
        <w:rPr>
          <w:lang w:val="fr-FR"/>
        </w:rPr>
        <w:t xml:space="preserve"> pour rendre vraisemblables les événements relatés par le requérant et les tortures subies. Elle </w:t>
      </w:r>
      <w:r w:rsidR="006F63F9" w:rsidRPr="005C50CD">
        <w:rPr>
          <w:lang w:val="fr-FR"/>
        </w:rPr>
        <w:t>observe</w:t>
      </w:r>
      <w:r w:rsidR="00495572" w:rsidRPr="005C50CD">
        <w:rPr>
          <w:lang w:val="fr-FR"/>
        </w:rPr>
        <w:t xml:space="preserve"> que </w:t>
      </w:r>
      <w:r w:rsidR="00632AA1" w:rsidRPr="005C50CD">
        <w:rPr>
          <w:lang w:val="fr-FR"/>
        </w:rPr>
        <w:t>celui-ci</w:t>
      </w:r>
      <w:r w:rsidR="00495572" w:rsidRPr="005C50CD">
        <w:rPr>
          <w:lang w:val="fr-FR"/>
        </w:rPr>
        <w:t xml:space="preserve"> produit, en outre, plusieurs convocations devant le ROUBOP, certaines lui étant adressées personnellement, la dernière étant da</w:t>
      </w:r>
      <w:r w:rsidR="00E97DF8" w:rsidRPr="005C50CD">
        <w:rPr>
          <w:lang w:val="fr-FR"/>
        </w:rPr>
        <w:t>tée du 12 </w:t>
      </w:r>
      <w:r w:rsidR="00495572" w:rsidRPr="005C50CD">
        <w:rPr>
          <w:lang w:val="fr-FR"/>
        </w:rPr>
        <w:t>décembre 2012, et d</w:t>
      </w:r>
      <w:r w:rsidR="005C50CD" w:rsidRPr="005C50CD">
        <w:rPr>
          <w:lang w:val="fr-FR"/>
        </w:rPr>
        <w:t>’</w:t>
      </w:r>
      <w:r w:rsidR="00495572" w:rsidRPr="005C50CD">
        <w:rPr>
          <w:lang w:val="fr-FR"/>
        </w:rPr>
        <w:t>autres étant destinées à son oncle et à son père.</w:t>
      </w:r>
    </w:p>
    <w:p w:rsidR="005C50CD" w:rsidRPr="005C50CD" w:rsidRDefault="00495572"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57</w:t>
      </w:r>
      <w:r w:rsidRPr="005C50CD">
        <w:rPr>
          <w:lang w:val="fr-FR"/>
        </w:rPr>
        <w:fldChar w:fldCharType="end"/>
      </w:r>
      <w:r w:rsidRPr="005C50CD">
        <w:rPr>
          <w:lang w:val="fr-FR"/>
        </w:rPr>
        <w:t xml:space="preserve">.  La </w:t>
      </w:r>
      <w:r w:rsidR="007C028B" w:rsidRPr="005C50CD">
        <w:rPr>
          <w:lang w:val="fr-FR"/>
        </w:rPr>
        <w:t>Cour note toutefois les réserves émises par le Gouvernement au regard des nombreux examens de sa situation dont a bénéficié le requérant, ainsi que les incohérences qu</w:t>
      </w:r>
      <w:r w:rsidR="005C50CD" w:rsidRPr="005C50CD">
        <w:rPr>
          <w:lang w:val="fr-FR"/>
        </w:rPr>
        <w:t>’</w:t>
      </w:r>
      <w:r w:rsidR="007C028B" w:rsidRPr="005C50CD">
        <w:rPr>
          <w:lang w:val="fr-FR"/>
        </w:rPr>
        <w:t>il relève dans le récit de ce dernier.</w:t>
      </w:r>
    </w:p>
    <w:p w:rsidR="007867F1" w:rsidRPr="005C50CD" w:rsidRDefault="007C028B" w:rsidP="005C50CD">
      <w:pPr>
        <w:pStyle w:val="ECHRPara"/>
        <w:tabs>
          <w:tab w:val="right" w:pos="7358"/>
        </w:tabs>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58</w:t>
      </w:r>
      <w:r w:rsidRPr="005C50CD">
        <w:rPr>
          <w:lang w:val="fr-FR"/>
        </w:rPr>
        <w:fldChar w:fldCharType="end"/>
      </w:r>
      <w:r w:rsidRPr="005C50CD">
        <w:rPr>
          <w:lang w:val="fr-FR"/>
        </w:rPr>
        <w:t>.  </w:t>
      </w:r>
      <w:r w:rsidR="00FE259F" w:rsidRPr="005C50CD">
        <w:rPr>
          <w:lang w:val="fr-FR"/>
        </w:rPr>
        <w:t xml:space="preserve">La Cour </w:t>
      </w:r>
      <w:r w:rsidR="00624D58" w:rsidRPr="005C50CD">
        <w:rPr>
          <w:lang w:val="fr-FR"/>
        </w:rPr>
        <w:t>considère qu</w:t>
      </w:r>
      <w:r w:rsidR="005C50CD" w:rsidRPr="005C50CD">
        <w:rPr>
          <w:lang w:val="fr-FR"/>
        </w:rPr>
        <w:t>’</w:t>
      </w:r>
      <w:r w:rsidR="00624D58" w:rsidRPr="005C50CD">
        <w:rPr>
          <w:lang w:val="fr-FR"/>
        </w:rPr>
        <w:t>en règle générale, les autorités nationales sont les mieux placées pour apprécier non seulement les faits mais, plus particulièrement, la crédibilité des témoins, car ce sont elles qui ont eu la possibilité de voir, examiner et évaluer le comportement de la personne concernée</w:t>
      </w:r>
      <w:r w:rsidR="00D11E14" w:rsidRPr="005C50CD">
        <w:rPr>
          <w:lang w:val="fr-FR"/>
        </w:rPr>
        <w:t xml:space="preserve"> (</w:t>
      </w:r>
      <w:r w:rsidR="00D11E14" w:rsidRPr="005C50CD">
        <w:rPr>
          <w:i/>
          <w:iCs/>
          <w:lang w:val="fr-FR"/>
        </w:rPr>
        <w:t>R.C. c. Suède</w:t>
      </w:r>
      <w:r w:rsidR="000C4799" w:rsidRPr="005C50CD">
        <w:rPr>
          <w:lang w:val="fr-FR"/>
        </w:rPr>
        <w:t>, n</w:t>
      </w:r>
      <w:r w:rsidR="00AE19D6" w:rsidRPr="005C50CD">
        <w:rPr>
          <w:vertAlign w:val="superscript"/>
          <w:lang w:val="fr-FR"/>
        </w:rPr>
        <w:t>o</w:t>
      </w:r>
      <w:r w:rsidR="000C4799" w:rsidRPr="005C50CD">
        <w:rPr>
          <w:lang w:val="fr-FR"/>
        </w:rPr>
        <w:t> </w:t>
      </w:r>
      <w:r w:rsidR="00D11E14" w:rsidRPr="005C50CD">
        <w:rPr>
          <w:lang w:val="fr-FR"/>
        </w:rPr>
        <w:t xml:space="preserve">41827/07, § 52, 9 mars 2010, </w:t>
      </w:r>
      <w:r w:rsidR="00E97DF8" w:rsidRPr="005C50CD">
        <w:rPr>
          <w:i/>
          <w:iCs/>
          <w:lang w:val="fr-FR"/>
        </w:rPr>
        <w:t>M.E. c. </w:t>
      </w:r>
      <w:r w:rsidR="00D11E14" w:rsidRPr="005C50CD">
        <w:rPr>
          <w:i/>
          <w:iCs/>
          <w:lang w:val="fr-FR"/>
        </w:rPr>
        <w:t>Suède</w:t>
      </w:r>
      <w:r w:rsidR="00D11E14" w:rsidRPr="005C50CD">
        <w:rPr>
          <w:lang w:val="fr-FR"/>
        </w:rPr>
        <w:t>, n</w:t>
      </w:r>
      <w:r w:rsidR="00AE19D6" w:rsidRPr="005C50CD">
        <w:rPr>
          <w:vertAlign w:val="superscript"/>
          <w:lang w:val="fr-FR"/>
        </w:rPr>
        <w:t>o</w:t>
      </w:r>
      <w:r w:rsidR="00EB06CB" w:rsidRPr="005C50CD">
        <w:rPr>
          <w:lang w:val="fr-FR"/>
        </w:rPr>
        <w:t> </w:t>
      </w:r>
      <w:r w:rsidR="00D11E14" w:rsidRPr="005C50CD">
        <w:rPr>
          <w:lang w:val="fr-FR"/>
        </w:rPr>
        <w:t xml:space="preserve">71398/12, § 78, 26 juin 2014, et </w:t>
      </w:r>
      <w:r w:rsidR="00D11E14" w:rsidRPr="005C50CD">
        <w:rPr>
          <w:i/>
          <w:iCs/>
          <w:lang w:val="fr-FR"/>
        </w:rPr>
        <w:t>F.G.</w:t>
      </w:r>
      <w:r w:rsidR="0093019F" w:rsidRPr="005C50CD">
        <w:rPr>
          <w:i/>
          <w:iCs/>
          <w:lang w:val="fr-FR"/>
        </w:rPr>
        <w:t xml:space="preserve"> c. Suède</w:t>
      </w:r>
      <w:r w:rsidR="00D11E14" w:rsidRPr="005C50CD">
        <w:rPr>
          <w:i/>
          <w:iCs/>
          <w:lang w:val="fr-FR"/>
        </w:rPr>
        <w:t xml:space="preserve"> </w:t>
      </w:r>
      <w:r w:rsidR="00D11E14" w:rsidRPr="005C50CD">
        <w:rPr>
          <w:lang w:val="fr-FR"/>
        </w:rPr>
        <w:t>précité, § 118). Or, en l</w:t>
      </w:r>
      <w:r w:rsidR="005C50CD" w:rsidRPr="005C50CD">
        <w:rPr>
          <w:lang w:val="fr-FR"/>
        </w:rPr>
        <w:t>’</w:t>
      </w:r>
      <w:r w:rsidR="00D11E14" w:rsidRPr="005C50CD">
        <w:rPr>
          <w:lang w:val="fr-FR"/>
        </w:rPr>
        <w:t>espèce, ces autorités ont considéré qu</w:t>
      </w:r>
      <w:r w:rsidR="005C50CD" w:rsidRPr="005C50CD">
        <w:rPr>
          <w:lang w:val="fr-FR"/>
        </w:rPr>
        <w:t>’</w:t>
      </w:r>
      <w:r w:rsidR="00D11E14" w:rsidRPr="005C50CD">
        <w:rPr>
          <w:lang w:val="fr-FR"/>
        </w:rPr>
        <w:t xml:space="preserve">elles ne pouvaient tenir pour établis les faits allégués et pour fondées les craintes énoncées. La Cour relève néanmoins </w:t>
      </w:r>
      <w:r w:rsidR="00FE259F" w:rsidRPr="005C50CD">
        <w:rPr>
          <w:lang w:val="fr-FR"/>
        </w:rPr>
        <w:t>que les éléments apportés par le requérant lors de sa première demande d</w:t>
      </w:r>
      <w:r w:rsidR="005C50CD" w:rsidRPr="005C50CD">
        <w:rPr>
          <w:lang w:val="fr-FR"/>
        </w:rPr>
        <w:t>’</w:t>
      </w:r>
      <w:r w:rsidR="00FE259F" w:rsidRPr="005C50CD">
        <w:rPr>
          <w:lang w:val="fr-FR"/>
        </w:rPr>
        <w:t xml:space="preserve">asile – tant son récit que les preuves documentaires – furent </w:t>
      </w:r>
      <w:r w:rsidR="00FE259F" w:rsidRPr="005C50CD">
        <w:rPr>
          <w:lang w:val="fr-FR"/>
        </w:rPr>
        <w:lastRenderedPageBreak/>
        <w:t>écartés par l</w:t>
      </w:r>
      <w:r w:rsidR="005C50CD" w:rsidRPr="005C50CD">
        <w:rPr>
          <w:lang w:val="fr-FR"/>
        </w:rPr>
        <w:t>’</w:t>
      </w:r>
      <w:r w:rsidR="00FE259F" w:rsidRPr="005C50CD">
        <w:rPr>
          <w:lang w:val="fr-FR"/>
        </w:rPr>
        <w:t>OFPRA au moyen d</w:t>
      </w:r>
      <w:r w:rsidR="005C50CD" w:rsidRPr="005C50CD">
        <w:rPr>
          <w:lang w:val="fr-FR"/>
        </w:rPr>
        <w:t>’</w:t>
      </w:r>
      <w:r w:rsidR="00FE259F" w:rsidRPr="005C50CD">
        <w:rPr>
          <w:lang w:val="fr-FR"/>
        </w:rPr>
        <w:t>une motivation succincte. L</w:t>
      </w:r>
      <w:r w:rsidR="005C50CD" w:rsidRPr="005C50CD">
        <w:rPr>
          <w:lang w:val="fr-FR"/>
        </w:rPr>
        <w:t>’</w:t>
      </w:r>
      <w:r w:rsidR="00FE259F" w:rsidRPr="005C50CD">
        <w:rPr>
          <w:lang w:val="fr-FR"/>
        </w:rPr>
        <w:t xml:space="preserve">OFPRA débouta, en effet, le requérant en se </w:t>
      </w:r>
      <w:r w:rsidR="00B7261C" w:rsidRPr="005C50CD">
        <w:rPr>
          <w:lang w:val="fr-FR"/>
        </w:rPr>
        <w:t>basant</w:t>
      </w:r>
      <w:r w:rsidR="00FE259F" w:rsidRPr="005C50CD">
        <w:rPr>
          <w:lang w:val="fr-FR"/>
        </w:rPr>
        <w:t xml:space="preserve"> uniquement sur l</w:t>
      </w:r>
      <w:r w:rsidR="005C50CD" w:rsidRPr="005C50CD">
        <w:rPr>
          <w:lang w:val="fr-FR"/>
        </w:rPr>
        <w:t>’</w:t>
      </w:r>
      <w:r w:rsidR="00FE259F" w:rsidRPr="005C50CD">
        <w:rPr>
          <w:lang w:val="fr-FR"/>
        </w:rPr>
        <w:t>imprécision</w:t>
      </w:r>
      <w:r w:rsidR="00B7261C" w:rsidRPr="005C50CD">
        <w:rPr>
          <w:lang w:val="fr-FR"/>
        </w:rPr>
        <w:t xml:space="preserve"> générale</w:t>
      </w:r>
      <w:r w:rsidR="00FE259F" w:rsidRPr="005C50CD">
        <w:rPr>
          <w:lang w:val="fr-FR"/>
        </w:rPr>
        <w:t xml:space="preserve"> de ses déclarations et sur l</w:t>
      </w:r>
      <w:r w:rsidR="005C50CD" w:rsidRPr="005C50CD">
        <w:rPr>
          <w:lang w:val="fr-FR"/>
        </w:rPr>
        <w:t>’</w:t>
      </w:r>
      <w:r w:rsidR="00FE259F" w:rsidRPr="005C50CD">
        <w:rPr>
          <w:lang w:val="fr-FR"/>
        </w:rPr>
        <w:t>absence de garanties suffisantes d</w:t>
      </w:r>
      <w:r w:rsidR="005C50CD" w:rsidRPr="005C50CD">
        <w:rPr>
          <w:lang w:val="fr-FR"/>
        </w:rPr>
        <w:t>’</w:t>
      </w:r>
      <w:r w:rsidR="00FE259F" w:rsidRPr="005C50CD">
        <w:rPr>
          <w:lang w:val="fr-FR"/>
        </w:rPr>
        <w:t xml:space="preserve">authenticité des convocations produites, </w:t>
      </w:r>
      <w:r w:rsidR="00B7261C" w:rsidRPr="005C50CD">
        <w:rPr>
          <w:lang w:val="fr-FR"/>
        </w:rPr>
        <w:t>sans indiquer les motifs fondant ses suspicions. La Cour observe que la décision de la CNDA est plus motivée</w:t>
      </w:r>
      <w:r w:rsidR="00400ECE" w:rsidRPr="005C50CD">
        <w:rPr>
          <w:lang w:val="fr-FR"/>
        </w:rPr>
        <w:t xml:space="preserve">. En particulier, elle reproche au requérant de ne pas </w:t>
      </w:r>
      <w:r w:rsidR="00632AA1" w:rsidRPr="005C50CD">
        <w:rPr>
          <w:lang w:val="fr-FR"/>
        </w:rPr>
        <w:t>donner</w:t>
      </w:r>
      <w:r w:rsidR="00400ECE" w:rsidRPr="005C50CD">
        <w:rPr>
          <w:lang w:val="fr-FR"/>
        </w:rPr>
        <w:t xml:space="preserve"> d</w:t>
      </w:r>
      <w:r w:rsidR="005C50CD" w:rsidRPr="005C50CD">
        <w:rPr>
          <w:lang w:val="fr-FR"/>
        </w:rPr>
        <w:t>’</w:t>
      </w:r>
      <w:r w:rsidR="00400ECE" w:rsidRPr="005C50CD">
        <w:rPr>
          <w:lang w:val="fr-FR"/>
        </w:rPr>
        <w:t>indications concernant</w:t>
      </w:r>
      <w:r w:rsidR="00632AA1" w:rsidRPr="005C50CD">
        <w:rPr>
          <w:lang w:val="fr-FR"/>
        </w:rPr>
        <w:t xml:space="preserve"> tant</w:t>
      </w:r>
      <w:r w:rsidR="00400ECE" w:rsidRPr="005C50CD">
        <w:rPr>
          <w:lang w:val="fr-FR"/>
        </w:rPr>
        <w:t xml:space="preserve"> les activités de son ami en faveur des combattants tchétchènes, </w:t>
      </w:r>
      <w:r w:rsidR="00632AA1" w:rsidRPr="005C50CD">
        <w:rPr>
          <w:lang w:val="fr-FR"/>
        </w:rPr>
        <w:t xml:space="preserve">que </w:t>
      </w:r>
      <w:r w:rsidR="007F7C37" w:rsidRPr="005C50CD">
        <w:rPr>
          <w:lang w:val="fr-FR"/>
        </w:rPr>
        <w:t>les modalités de l</w:t>
      </w:r>
      <w:r w:rsidR="005C50CD" w:rsidRPr="005C50CD">
        <w:rPr>
          <w:lang w:val="fr-FR"/>
        </w:rPr>
        <w:t>’</w:t>
      </w:r>
      <w:r w:rsidR="007F7C37" w:rsidRPr="005C50CD">
        <w:rPr>
          <w:lang w:val="fr-FR"/>
        </w:rPr>
        <w:t>aide qu</w:t>
      </w:r>
      <w:r w:rsidR="005C50CD" w:rsidRPr="005C50CD">
        <w:rPr>
          <w:lang w:val="fr-FR"/>
        </w:rPr>
        <w:t>’</w:t>
      </w:r>
      <w:r w:rsidR="007F7C37" w:rsidRPr="005C50CD">
        <w:rPr>
          <w:lang w:val="fr-FR"/>
        </w:rPr>
        <w:t>il a apportée à ce dernier et</w:t>
      </w:r>
      <w:r w:rsidR="00632AA1" w:rsidRPr="005C50CD">
        <w:rPr>
          <w:lang w:val="fr-FR"/>
        </w:rPr>
        <w:t xml:space="preserve"> que</w:t>
      </w:r>
      <w:r w:rsidR="007F7C37" w:rsidRPr="005C50CD">
        <w:rPr>
          <w:lang w:val="fr-FR"/>
        </w:rPr>
        <w:t xml:space="preserve"> ses différentes arrestations. La Cour constate </w:t>
      </w:r>
      <w:r w:rsidR="00D11E14" w:rsidRPr="005C50CD">
        <w:rPr>
          <w:lang w:val="fr-FR"/>
        </w:rPr>
        <w:t xml:space="preserve">cependant </w:t>
      </w:r>
      <w:r w:rsidR="007F7C37" w:rsidRPr="005C50CD">
        <w:rPr>
          <w:lang w:val="fr-FR"/>
        </w:rPr>
        <w:t>que le requérant a, devant elle, fourni un récit particulièrement circonstancié, notamment sur ces points. La CNDA a, par ailleurs, estimé, sans s</w:t>
      </w:r>
      <w:r w:rsidR="005C50CD" w:rsidRPr="005C50CD">
        <w:rPr>
          <w:lang w:val="fr-FR"/>
        </w:rPr>
        <w:t>’</w:t>
      </w:r>
      <w:r w:rsidR="007F7C37" w:rsidRPr="005C50CD">
        <w:rPr>
          <w:lang w:val="fr-FR"/>
        </w:rPr>
        <w:t xml:space="preserve">expliquer plus avant, que les convocations </w:t>
      </w:r>
      <w:r w:rsidR="008E2A5E" w:rsidRPr="005C50CD">
        <w:rPr>
          <w:lang w:val="fr-FR"/>
        </w:rPr>
        <w:t>produites</w:t>
      </w:r>
      <w:r w:rsidR="007F7C37" w:rsidRPr="005C50CD">
        <w:rPr>
          <w:lang w:val="fr-FR"/>
        </w:rPr>
        <w:t xml:space="preserve"> ne présentaient pas de garanties suffisantes d</w:t>
      </w:r>
      <w:r w:rsidR="005C50CD" w:rsidRPr="005C50CD">
        <w:rPr>
          <w:lang w:val="fr-FR"/>
        </w:rPr>
        <w:t>’</w:t>
      </w:r>
      <w:r w:rsidR="007F7C37" w:rsidRPr="005C50CD">
        <w:rPr>
          <w:lang w:val="fr-FR"/>
        </w:rPr>
        <w:t>authenticité et que les autres documents fournis ne permettaient pas d</w:t>
      </w:r>
      <w:r w:rsidR="005C50CD" w:rsidRPr="005C50CD">
        <w:rPr>
          <w:lang w:val="fr-FR"/>
        </w:rPr>
        <w:t>’</w:t>
      </w:r>
      <w:r w:rsidR="007F7C37" w:rsidRPr="005C50CD">
        <w:rPr>
          <w:lang w:val="fr-FR"/>
        </w:rPr>
        <w:t>attester l</w:t>
      </w:r>
      <w:r w:rsidR="005C50CD" w:rsidRPr="005C50CD">
        <w:rPr>
          <w:lang w:val="fr-FR"/>
        </w:rPr>
        <w:t>’</w:t>
      </w:r>
      <w:r w:rsidR="007F7C37" w:rsidRPr="005C50CD">
        <w:rPr>
          <w:lang w:val="fr-FR"/>
        </w:rPr>
        <w:t xml:space="preserve">existence de craintes personnelles et actuelles du requérant en cas de retour en Tchétchénie. </w:t>
      </w:r>
      <w:r w:rsidR="00855315" w:rsidRPr="005C50CD">
        <w:rPr>
          <w:lang w:val="fr-FR"/>
        </w:rPr>
        <w:t>S</w:t>
      </w:r>
      <w:r w:rsidR="005C50CD" w:rsidRPr="005C50CD">
        <w:rPr>
          <w:lang w:val="fr-FR"/>
        </w:rPr>
        <w:t>’</w:t>
      </w:r>
      <w:r w:rsidR="00855315" w:rsidRPr="005C50CD">
        <w:rPr>
          <w:lang w:val="fr-FR"/>
        </w:rPr>
        <w:t>agissant</w:t>
      </w:r>
      <w:r w:rsidR="007867F1" w:rsidRPr="005C50CD">
        <w:rPr>
          <w:lang w:val="fr-FR"/>
        </w:rPr>
        <w:t xml:space="preserve"> des demandes de réexamen, l</w:t>
      </w:r>
      <w:r w:rsidR="00855315" w:rsidRPr="005C50CD">
        <w:rPr>
          <w:lang w:val="fr-FR"/>
        </w:rPr>
        <w:t>es instances de l</w:t>
      </w:r>
      <w:r w:rsidR="005C50CD" w:rsidRPr="005C50CD">
        <w:rPr>
          <w:lang w:val="fr-FR"/>
        </w:rPr>
        <w:t>’</w:t>
      </w:r>
      <w:r w:rsidR="00855315" w:rsidRPr="005C50CD">
        <w:rPr>
          <w:lang w:val="fr-FR"/>
        </w:rPr>
        <w:t>asile les déclarèrent irrecevables, faute pour le requérant d</w:t>
      </w:r>
      <w:r w:rsidR="005C50CD" w:rsidRPr="005C50CD">
        <w:rPr>
          <w:lang w:val="fr-FR"/>
        </w:rPr>
        <w:t>’</w:t>
      </w:r>
      <w:r w:rsidR="00855315" w:rsidRPr="005C50CD">
        <w:rPr>
          <w:lang w:val="fr-FR"/>
        </w:rPr>
        <w:t xml:space="preserve">avoir présenté des éléments nouveaux de nature à justifier ses craintes en cas de retour dans son pays. </w:t>
      </w:r>
      <w:r w:rsidR="007867F1" w:rsidRPr="005C50CD">
        <w:rPr>
          <w:lang w:val="fr-FR"/>
        </w:rPr>
        <w:t xml:space="preserve">Le tribunal administratif se limita, quant à lui, à </w:t>
      </w:r>
      <w:r w:rsidR="00624D58" w:rsidRPr="005C50CD">
        <w:rPr>
          <w:lang w:val="fr-FR"/>
        </w:rPr>
        <w:t>décider</w:t>
      </w:r>
      <w:r w:rsidR="007867F1" w:rsidRPr="005C50CD">
        <w:rPr>
          <w:lang w:val="fr-FR"/>
        </w:rPr>
        <w:t xml:space="preserve"> qu</w:t>
      </w:r>
      <w:r w:rsidR="005C50CD" w:rsidRPr="005C50CD">
        <w:rPr>
          <w:lang w:val="fr-FR"/>
        </w:rPr>
        <w:t>’</w:t>
      </w:r>
      <w:r w:rsidR="007867F1" w:rsidRPr="005C50CD">
        <w:rPr>
          <w:lang w:val="fr-FR"/>
        </w:rPr>
        <w:t>au vu des documents produits, le requérant n</w:t>
      </w:r>
      <w:r w:rsidR="005C50CD" w:rsidRPr="005C50CD">
        <w:rPr>
          <w:lang w:val="fr-FR"/>
        </w:rPr>
        <w:t>’</w:t>
      </w:r>
      <w:r w:rsidR="007867F1" w:rsidRPr="005C50CD">
        <w:rPr>
          <w:lang w:val="fr-FR"/>
        </w:rPr>
        <w:t>établissait pas l</w:t>
      </w:r>
      <w:r w:rsidR="005C50CD" w:rsidRPr="005C50CD">
        <w:rPr>
          <w:lang w:val="fr-FR"/>
        </w:rPr>
        <w:t>’</w:t>
      </w:r>
      <w:r w:rsidR="007867F1" w:rsidRPr="005C50CD">
        <w:rPr>
          <w:lang w:val="fr-FR"/>
        </w:rPr>
        <w:t>actualité du risque allégué en cas de retour en Russie. Il en résulte que la Cour ne trouve pas d</w:t>
      </w:r>
      <w:r w:rsidR="005C50CD" w:rsidRPr="005C50CD">
        <w:rPr>
          <w:lang w:val="fr-FR"/>
        </w:rPr>
        <w:t>’</w:t>
      </w:r>
      <w:r w:rsidR="007867F1" w:rsidRPr="005C50CD">
        <w:rPr>
          <w:lang w:val="fr-FR"/>
        </w:rPr>
        <w:t xml:space="preserve">éléments suffisamment explicites dans ces motivations des instances nationales pour écarter le récit </w:t>
      </w:r>
      <w:r w:rsidR="00390914" w:rsidRPr="005C50CD">
        <w:rPr>
          <w:lang w:val="fr-FR"/>
        </w:rPr>
        <w:t>du requérant</w:t>
      </w:r>
      <w:r w:rsidR="007867F1" w:rsidRPr="005C50CD">
        <w:rPr>
          <w:lang w:val="fr-FR"/>
        </w:rPr>
        <w:t xml:space="preserve"> et rejeter </w:t>
      </w:r>
      <w:r w:rsidR="00390914" w:rsidRPr="005C50CD">
        <w:rPr>
          <w:lang w:val="fr-FR"/>
        </w:rPr>
        <w:t>sa</w:t>
      </w:r>
      <w:r w:rsidR="007867F1" w:rsidRPr="005C50CD">
        <w:rPr>
          <w:lang w:val="fr-FR"/>
        </w:rPr>
        <w:t xml:space="preserve"> demande (voir, en ce sens, </w:t>
      </w:r>
      <w:r w:rsidR="007867F1" w:rsidRPr="005C50CD">
        <w:rPr>
          <w:i/>
          <w:iCs/>
          <w:lang w:val="fr-FR"/>
        </w:rPr>
        <w:t>K.K. c. France</w:t>
      </w:r>
      <w:r w:rsidR="007867F1" w:rsidRPr="005C50CD">
        <w:rPr>
          <w:lang w:val="fr-FR"/>
        </w:rPr>
        <w:t>, n</w:t>
      </w:r>
      <w:r w:rsidR="00AE19D6" w:rsidRPr="005C50CD">
        <w:rPr>
          <w:vertAlign w:val="superscript"/>
          <w:lang w:val="fr-FR"/>
        </w:rPr>
        <w:t>o</w:t>
      </w:r>
      <w:r w:rsidR="007867F1" w:rsidRPr="005C50CD">
        <w:rPr>
          <w:lang w:val="fr-FR"/>
        </w:rPr>
        <w:t> 1</w:t>
      </w:r>
      <w:r w:rsidR="00ED4895" w:rsidRPr="005C50CD">
        <w:rPr>
          <w:lang w:val="fr-FR"/>
        </w:rPr>
        <w:t>8913/11, § 52, 10 octobre 2013 ;</w:t>
      </w:r>
      <w:r w:rsidR="007867F1" w:rsidRPr="005C50CD">
        <w:rPr>
          <w:lang w:val="fr-FR"/>
        </w:rPr>
        <w:t xml:space="preserve"> </w:t>
      </w:r>
      <w:r w:rsidR="007867F1" w:rsidRPr="005C50CD">
        <w:rPr>
          <w:i/>
          <w:iCs/>
          <w:lang w:val="fr-FR"/>
        </w:rPr>
        <w:t>N</w:t>
      </w:r>
      <w:r w:rsidR="00ED4895" w:rsidRPr="005C50CD">
        <w:rPr>
          <w:i/>
          <w:iCs/>
          <w:lang w:val="fr-FR"/>
        </w:rPr>
        <w:t>.K. c. </w:t>
      </w:r>
      <w:r w:rsidR="007867F1" w:rsidRPr="005C50CD">
        <w:rPr>
          <w:i/>
          <w:iCs/>
          <w:lang w:val="fr-FR"/>
        </w:rPr>
        <w:t>France</w:t>
      </w:r>
      <w:r w:rsidR="007867F1" w:rsidRPr="005C50CD">
        <w:rPr>
          <w:lang w:val="fr-FR"/>
        </w:rPr>
        <w:t>, n</w:t>
      </w:r>
      <w:r w:rsidR="00AE19D6" w:rsidRPr="005C50CD">
        <w:rPr>
          <w:vertAlign w:val="superscript"/>
          <w:lang w:val="fr-FR"/>
        </w:rPr>
        <w:t>o</w:t>
      </w:r>
      <w:r w:rsidR="007867F1" w:rsidRPr="005C50CD">
        <w:rPr>
          <w:lang w:val="fr-FR"/>
        </w:rPr>
        <w:t xml:space="preserve"> 7974/11, § 45, 19 décembre 2013).</w:t>
      </w:r>
    </w:p>
    <w:p w:rsidR="005C50CD" w:rsidRPr="005C50CD" w:rsidRDefault="00FE259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59</w:t>
      </w:r>
      <w:r w:rsidRPr="005C50CD">
        <w:rPr>
          <w:lang w:val="fr-FR"/>
        </w:rPr>
        <w:fldChar w:fldCharType="end"/>
      </w:r>
      <w:r w:rsidRPr="005C50CD">
        <w:rPr>
          <w:lang w:val="fr-FR"/>
        </w:rPr>
        <w:t>.  </w:t>
      </w:r>
      <w:r w:rsidR="007B013C" w:rsidRPr="005C50CD">
        <w:rPr>
          <w:lang w:val="fr-FR"/>
        </w:rPr>
        <w:t xml:space="preserve">La </w:t>
      </w:r>
      <w:r w:rsidR="000C4799" w:rsidRPr="005C50CD">
        <w:rPr>
          <w:lang w:val="fr-FR"/>
        </w:rPr>
        <w:t xml:space="preserve">Cour </w:t>
      </w:r>
      <w:r w:rsidR="00BA2D5A" w:rsidRPr="005C50CD">
        <w:rPr>
          <w:lang w:val="fr-FR"/>
        </w:rPr>
        <w:t>estime cependant important d</w:t>
      </w:r>
      <w:r w:rsidR="005C50CD" w:rsidRPr="005C50CD">
        <w:rPr>
          <w:lang w:val="fr-FR"/>
        </w:rPr>
        <w:t>’</w:t>
      </w:r>
      <w:r w:rsidR="00BA2D5A" w:rsidRPr="005C50CD">
        <w:rPr>
          <w:lang w:val="fr-FR"/>
        </w:rPr>
        <w:t>examiner</w:t>
      </w:r>
      <w:r w:rsidR="000C4799" w:rsidRPr="005C50CD">
        <w:rPr>
          <w:lang w:val="fr-FR"/>
        </w:rPr>
        <w:t xml:space="preserve"> les </w:t>
      </w:r>
      <w:r w:rsidR="00BA2D5A" w:rsidRPr="005C50CD">
        <w:rPr>
          <w:lang w:val="fr-FR"/>
        </w:rPr>
        <w:t>incohérences</w:t>
      </w:r>
      <w:r w:rsidR="000C4799" w:rsidRPr="005C50CD">
        <w:rPr>
          <w:lang w:val="fr-FR"/>
        </w:rPr>
        <w:t xml:space="preserve"> soulevées par le Gouvernement</w:t>
      </w:r>
      <w:r w:rsidR="00A72912" w:rsidRPr="005C50CD">
        <w:rPr>
          <w:lang w:val="fr-FR"/>
        </w:rPr>
        <w:t>.</w:t>
      </w:r>
    </w:p>
    <w:p w:rsidR="005C50CD" w:rsidRPr="005C50CD" w:rsidRDefault="00B6379C"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60</w:t>
      </w:r>
      <w:r w:rsidRPr="005C50CD">
        <w:rPr>
          <w:lang w:val="fr-FR"/>
        </w:rPr>
        <w:fldChar w:fldCharType="end"/>
      </w:r>
      <w:r w:rsidRPr="005C50CD">
        <w:rPr>
          <w:lang w:val="fr-FR"/>
        </w:rPr>
        <w:t>.  </w:t>
      </w:r>
      <w:r w:rsidR="00A650DD" w:rsidRPr="005C50CD">
        <w:rPr>
          <w:lang w:val="fr-FR"/>
        </w:rPr>
        <w:t xml:space="preserve">En particulier, celui-ci </w:t>
      </w:r>
      <w:r w:rsidR="000C0C7A" w:rsidRPr="005C50CD">
        <w:rPr>
          <w:lang w:val="fr-FR"/>
        </w:rPr>
        <w:t>signale l</w:t>
      </w:r>
      <w:r w:rsidR="005C50CD" w:rsidRPr="005C50CD">
        <w:rPr>
          <w:lang w:val="fr-FR"/>
        </w:rPr>
        <w:t>’</w:t>
      </w:r>
      <w:r w:rsidR="000C0C7A" w:rsidRPr="005C50CD">
        <w:rPr>
          <w:lang w:val="fr-FR"/>
        </w:rPr>
        <w:t>existence d</w:t>
      </w:r>
      <w:r w:rsidR="005C50CD" w:rsidRPr="005C50CD">
        <w:rPr>
          <w:lang w:val="fr-FR"/>
        </w:rPr>
        <w:t>’</w:t>
      </w:r>
      <w:r w:rsidR="000C0C7A" w:rsidRPr="005C50CD">
        <w:rPr>
          <w:lang w:val="fr-FR"/>
        </w:rPr>
        <w:t xml:space="preserve">une pièce fournie par le requérant et en contradiction avec le récit de ce dernier. </w:t>
      </w:r>
      <w:r w:rsidRPr="005C50CD">
        <w:rPr>
          <w:lang w:val="fr-FR"/>
        </w:rPr>
        <w:t xml:space="preserve">Un certificat émanant </w:t>
      </w:r>
      <w:r w:rsidR="00985F71" w:rsidRPr="005C50CD">
        <w:rPr>
          <w:lang w:val="fr-FR"/>
        </w:rPr>
        <w:t>du</w:t>
      </w:r>
      <w:r w:rsidRPr="005C50CD">
        <w:rPr>
          <w:lang w:val="fr-FR"/>
        </w:rPr>
        <w:t xml:space="preserve"> « </w:t>
      </w:r>
      <w:r w:rsidR="00BE7537" w:rsidRPr="005C50CD">
        <w:rPr>
          <w:lang w:val="fr-FR"/>
        </w:rPr>
        <w:t>Centre républicain Clinique de protection de la santé de la mère et de l</w:t>
      </w:r>
      <w:r w:rsidR="005C50CD" w:rsidRPr="005C50CD">
        <w:rPr>
          <w:lang w:val="fr-FR"/>
        </w:rPr>
        <w:t>’</w:t>
      </w:r>
      <w:r w:rsidR="00BE7537" w:rsidRPr="005C50CD">
        <w:rPr>
          <w:lang w:val="fr-FR"/>
        </w:rPr>
        <w:t>enfant </w:t>
      </w:r>
      <w:r w:rsidRPr="005C50CD">
        <w:rPr>
          <w:lang w:val="fr-FR"/>
        </w:rPr>
        <w:t> », dont seule la traduction est fournie,</w:t>
      </w:r>
      <w:r w:rsidR="0097336D" w:rsidRPr="005C50CD">
        <w:rPr>
          <w:lang w:val="fr-FR"/>
        </w:rPr>
        <w:t xml:space="preserve"> </w:t>
      </w:r>
      <w:r w:rsidR="007E7C75" w:rsidRPr="005C50CD">
        <w:rPr>
          <w:lang w:val="fr-FR"/>
        </w:rPr>
        <w:t>indique en effet que la femme du requérant a été admise à l</w:t>
      </w:r>
      <w:r w:rsidR="005C50CD" w:rsidRPr="005C50CD">
        <w:rPr>
          <w:lang w:val="fr-FR"/>
        </w:rPr>
        <w:t>’</w:t>
      </w:r>
      <w:r w:rsidR="007E7C75" w:rsidRPr="005C50CD">
        <w:rPr>
          <w:lang w:val="fr-FR"/>
        </w:rPr>
        <w:t>hôpital le 14 novembre 2007 alors que le requérant a toujours déclaré qu</w:t>
      </w:r>
      <w:r w:rsidR="005C50CD" w:rsidRPr="005C50CD">
        <w:rPr>
          <w:lang w:val="fr-FR"/>
        </w:rPr>
        <w:t>’</w:t>
      </w:r>
      <w:r w:rsidR="007E7C75" w:rsidRPr="005C50CD">
        <w:rPr>
          <w:lang w:val="fr-FR"/>
        </w:rPr>
        <w:t>il</w:t>
      </w:r>
      <w:r w:rsidR="0097336D" w:rsidRPr="005C50CD">
        <w:rPr>
          <w:lang w:val="fr-FR"/>
        </w:rPr>
        <w:t xml:space="preserve"> </w:t>
      </w:r>
      <w:r w:rsidR="000C0C7A" w:rsidRPr="005C50CD">
        <w:rPr>
          <w:lang w:val="fr-FR"/>
        </w:rPr>
        <w:t>avait été arrêté à son domicile le 15 novembre 2007 et que sa femme avait été si violemment battue à cette occasion qu</w:t>
      </w:r>
      <w:r w:rsidR="005C50CD" w:rsidRPr="005C50CD">
        <w:rPr>
          <w:lang w:val="fr-FR"/>
        </w:rPr>
        <w:t>’</w:t>
      </w:r>
      <w:r w:rsidR="000C0C7A" w:rsidRPr="005C50CD">
        <w:rPr>
          <w:lang w:val="fr-FR"/>
        </w:rPr>
        <w:t>elle avait dû être conduite à l</w:t>
      </w:r>
      <w:r w:rsidR="005C50CD" w:rsidRPr="005C50CD">
        <w:rPr>
          <w:lang w:val="fr-FR"/>
        </w:rPr>
        <w:t>’</w:t>
      </w:r>
      <w:r w:rsidR="000C0C7A" w:rsidRPr="005C50CD">
        <w:rPr>
          <w:lang w:val="fr-FR"/>
        </w:rPr>
        <w:t>hôpital où elle avait accouché prématurément</w:t>
      </w:r>
      <w:r w:rsidR="0097336D" w:rsidRPr="005C50CD">
        <w:rPr>
          <w:lang w:val="fr-FR"/>
        </w:rPr>
        <w:t>. La Cour relève néanmoins, d</w:t>
      </w:r>
      <w:r w:rsidR="005C50CD" w:rsidRPr="005C50CD">
        <w:rPr>
          <w:lang w:val="fr-FR"/>
        </w:rPr>
        <w:t>’</w:t>
      </w:r>
      <w:r w:rsidR="0097336D" w:rsidRPr="005C50CD">
        <w:rPr>
          <w:lang w:val="fr-FR"/>
        </w:rPr>
        <w:t xml:space="preserve">une part, que ce document </w:t>
      </w:r>
      <w:r w:rsidR="00BE7537" w:rsidRPr="005C50CD">
        <w:rPr>
          <w:lang w:val="fr-FR"/>
        </w:rPr>
        <w:t>atteste</w:t>
      </w:r>
      <w:r w:rsidR="0097336D" w:rsidRPr="005C50CD">
        <w:rPr>
          <w:lang w:val="fr-FR"/>
        </w:rPr>
        <w:t xml:space="preserve"> de ce que la femme du requérant a accouché prématurément </w:t>
      </w:r>
      <w:r w:rsidR="00E97DF8" w:rsidRPr="005C50CD">
        <w:rPr>
          <w:lang w:val="fr-FR"/>
        </w:rPr>
        <w:t>le 22 </w:t>
      </w:r>
      <w:r w:rsidRPr="005C50CD">
        <w:rPr>
          <w:lang w:val="fr-FR"/>
        </w:rPr>
        <w:t xml:space="preserve">novembre 2007 </w:t>
      </w:r>
      <w:r w:rsidR="0097336D" w:rsidRPr="005C50CD">
        <w:rPr>
          <w:lang w:val="fr-FR"/>
        </w:rPr>
        <w:t>à la suite de coups et, d</w:t>
      </w:r>
      <w:r w:rsidR="005C50CD" w:rsidRPr="005C50CD">
        <w:rPr>
          <w:lang w:val="fr-FR"/>
        </w:rPr>
        <w:t>’</w:t>
      </w:r>
      <w:r w:rsidR="0097336D" w:rsidRPr="005C50CD">
        <w:rPr>
          <w:lang w:val="fr-FR"/>
        </w:rPr>
        <w:t xml:space="preserve">autre part, que </w:t>
      </w:r>
      <w:r w:rsidR="00BE7537" w:rsidRPr="005C50CD">
        <w:rPr>
          <w:lang w:val="fr-FR"/>
        </w:rPr>
        <w:t>plusieurs témoignages produits par le requérant font le lien entre l</w:t>
      </w:r>
      <w:r w:rsidR="005C50CD" w:rsidRPr="005C50CD">
        <w:rPr>
          <w:lang w:val="fr-FR"/>
        </w:rPr>
        <w:t>’</w:t>
      </w:r>
      <w:r w:rsidR="00BE7537" w:rsidRPr="005C50CD">
        <w:rPr>
          <w:lang w:val="fr-FR"/>
        </w:rPr>
        <w:t>arrestation du requérant à son domicile en novembre 2007 et les coups ayant entraîné l</w:t>
      </w:r>
      <w:r w:rsidR="005C50CD" w:rsidRPr="005C50CD">
        <w:rPr>
          <w:lang w:val="fr-FR"/>
        </w:rPr>
        <w:t>’</w:t>
      </w:r>
      <w:r w:rsidR="00BE7537" w:rsidRPr="005C50CD">
        <w:rPr>
          <w:lang w:val="fr-FR"/>
        </w:rPr>
        <w:t>accouchement prématuré de sa femme</w:t>
      </w:r>
      <w:r w:rsidR="00985F71" w:rsidRPr="005C50CD">
        <w:rPr>
          <w:lang w:val="fr-FR"/>
        </w:rPr>
        <w:t xml:space="preserve"> (voir paragraphe 20)</w:t>
      </w:r>
      <w:r w:rsidR="00BE7537" w:rsidRPr="005C50CD">
        <w:rPr>
          <w:lang w:val="fr-FR"/>
        </w:rPr>
        <w:t xml:space="preserve">. </w:t>
      </w:r>
      <w:r w:rsidR="00F65F43" w:rsidRPr="005C50CD">
        <w:rPr>
          <w:lang w:val="fr-FR"/>
        </w:rPr>
        <w:t>La Cour constate que les autorités nationales n</w:t>
      </w:r>
      <w:r w:rsidR="005C50CD" w:rsidRPr="005C50CD">
        <w:rPr>
          <w:lang w:val="fr-FR"/>
        </w:rPr>
        <w:t>’</w:t>
      </w:r>
      <w:r w:rsidR="00F65F43" w:rsidRPr="005C50CD">
        <w:rPr>
          <w:lang w:val="fr-FR"/>
        </w:rPr>
        <w:t>ont pas envisagé la possibilité d</w:t>
      </w:r>
      <w:r w:rsidR="005C50CD" w:rsidRPr="005C50CD">
        <w:rPr>
          <w:lang w:val="fr-FR"/>
        </w:rPr>
        <w:t>’</w:t>
      </w:r>
      <w:r w:rsidR="00F65F43" w:rsidRPr="005C50CD">
        <w:rPr>
          <w:lang w:val="fr-FR"/>
        </w:rPr>
        <w:t>une simple erreur matérielle sur le certificat</w:t>
      </w:r>
      <w:r w:rsidR="0000590D" w:rsidRPr="005C50CD">
        <w:rPr>
          <w:lang w:val="fr-FR"/>
        </w:rPr>
        <w:t xml:space="preserve"> médical</w:t>
      </w:r>
      <w:r w:rsidR="00F65F43" w:rsidRPr="005C50CD">
        <w:rPr>
          <w:lang w:val="fr-FR"/>
        </w:rPr>
        <w:t xml:space="preserve"> ou sur la traduction de ce document.</w:t>
      </w:r>
      <w:r w:rsidR="008876D4" w:rsidRPr="005C50CD">
        <w:rPr>
          <w:lang w:val="fr-FR"/>
        </w:rPr>
        <w:t xml:space="preserve"> </w:t>
      </w:r>
      <w:r w:rsidR="00DB20D4" w:rsidRPr="005C50CD">
        <w:rPr>
          <w:lang w:val="fr-FR"/>
        </w:rPr>
        <w:t>Aussi, sans négliger l</w:t>
      </w:r>
      <w:r w:rsidR="005C50CD" w:rsidRPr="005C50CD">
        <w:rPr>
          <w:lang w:val="fr-FR"/>
        </w:rPr>
        <w:t>’</w:t>
      </w:r>
      <w:r w:rsidR="00DB20D4" w:rsidRPr="005C50CD">
        <w:rPr>
          <w:lang w:val="fr-FR"/>
        </w:rPr>
        <w:t xml:space="preserve">observation du gouvernement sur ce point, </w:t>
      </w:r>
      <w:r w:rsidR="00DB20D4" w:rsidRPr="005C50CD">
        <w:rPr>
          <w:lang w:val="fr-FR"/>
        </w:rPr>
        <w:lastRenderedPageBreak/>
        <w:t>la Cour l</w:t>
      </w:r>
      <w:r w:rsidR="005C50CD" w:rsidRPr="005C50CD">
        <w:rPr>
          <w:lang w:val="fr-FR"/>
        </w:rPr>
        <w:t>’</w:t>
      </w:r>
      <w:r w:rsidR="00DB20D4" w:rsidRPr="005C50CD">
        <w:rPr>
          <w:lang w:val="fr-FR"/>
        </w:rPr>
        <w:t>inclut dans une appréciation globale de l</w:t>
      </w:r>
      <w:r w:rsidR="005C50CD" w:rsidRPr="005C50CD">
        <w:rPr>
          <w:lang w:val="fr-FR"/>
        </w:rPr>
        <w:t>’</w:t>
      </w:r>
      <w:r w:rsidR="00DB20D4" w:rsidRPr="005C50CD">
        <w:rPr>
          <w:lang w:val="fr-FR"/>
        </w:rPr>
        <w:t>ensemble des éléments qui lui sont soumis.</w:t>
      </w:r>
    </w:p>
    <w:p w:rsidR="0097336D" w:rsidRPr="005C50CD" w:rsidRDefault="00B6379C"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61</w:t>
      </w:r>
      <w:r w:rsidRPr="005C50CD">
        <w:rPr>
          <w:lang w:val="fr-FR"/>
        </w:rPr>
        <w:fldChar w:fldCharType="end"/>
      </w:r>
      <w:r w:rsidRPr="005C50CD">
        <w:rPr>
          <w:lang w:val="fr-FR"/>
        </w:rPr>
        <w:t>.  </w:t>
      </w:r>
      <w:r w:rsidR="0097336D" w:rsidRPr="005C50CD">
        <w:rPr>
          <w:lang w:val="fr-FR"/>
        </w:rPr>
        <w:t>La Cour observe, en outre, que, dans ses observations complémentaires, le requérant répond aux différentes interrogations soulevées par le Gouvernement</w:t>
      </w:r>
      <w:r w:rsidR="008705A5" w:rsidRPr="005C50CD">
        <w:rPr>
          <w:lang w:val="fr-FR"/>
        </w:rPr>
        <w:t xml:space="preserve"> sur d</w:t>
      </w:r>
      <w:r w:rsidR="005C50CD" w:rsidRPr="005C50CD">
        <w:rPr>
          <w:lang w:val="fr-FR"/>
        </w:rPr>
        <w:t>’</w:t>
      </w:r>
      <w:r w:rsidR="008705A5" w:rsidRPr="005C50CD">
        <w:rPr>
          <w:lang w:val="fr-FR"/>
        </w:rPr>
        <w:t>autres points</w:t>
      </w:r>
      <w:r w:rsidR="0097336D" w:rsidRPr="005C50CD">
        <w:rPr>
          <w:lang w:val="fr-FR"/>
        </w:rPr>
        <w:t>. Il précise ainsi les raisons pour lesquelles il est parti de Russie sans sa femme et celles pour lesquelles il n</w:t>
      </w:r>
      <w:r w:rsidR="005C50CD" w:rsidRPr="005C50CD">
        <w:rPr>
          <w:lang w:val="fr-FR"/>
        </w:rPr>
        <w:t>’</w:t>
      </w:r>
      <w:r w:rsidR="0097336D" w:rsidRPr="005C50CD">
        <w:rPr>
          <w:lang w:val="fr-FR"/>
        </w:rPr>
        <w:t>a pas consulté immédiatement un médecin en France. S</w:t>
      </w:r>
      <w:r w:rsidR="005C50CD" w:rsidRPr="005C50CD">
        <w:rPr>
          <w:lang w:val="fr-FR"/>
        </w:rPr>
        <w:t>’</w:t>
      </w:r>
      <w:r w:rsidR="0097336D" w:rsidRPr="005C50CD">
        <w:rPr>
          <w:lang w:val="fr-FR"/>
        </w:rPr>
        <w:t>agissant de l</w:t>
      </w:r>
      <w:r w:rsidR="005C50CD" w:rsidRPr="005C50CD">
        <w:rPr>
          <w:lang w:val="fr-FR"/>
        </w:rPr>
        <w:t>’</w:t>
      </w:r>
      <w:r w:rsidR="0097336D" w:rsidRPr="005C50CD">
        <w:rPr>
          <w:lang w:val="fr-FR"/>
        </w:rPr>
        <w:t>actualité du risque encouru en cas de retour dans son pays d</w:t>
      </w:r>
      <w:r w:rsidR="005C50CD" w:rsidRPr="005C50CD">
        <w:rPr>
          <w:lang w:val="fr-FR"/>
        </w:rPr>
        <w:t>’</w:t>
      </w:r>
      <w:r w:rsidR="0097336D" w:rsidRPr="005C50CD">
        <w:rPr>
          <w:lang w:val="fr-FR"/>
        </w:rPr>
        <w:t>origine, il se réfère, outre aux convocations qui le concernaient, à celles reçues par ses proches, qui sont récentes et qui témoignent de l</w:t>
      </w:r>
      <w:r w:rsidR="005C50CD" w:rsidRPr="005C50CD">
        <w:rPr>
          <w:lang w:val="fr-FR"/>
        </w:rPr>
        <w:t>’</w:t>
      </w:r>
      <w:r w:rsidR="0097336D" w:rsidRPr="005C50CD">
        <w:rPr>
          <w:lang w:val="fr-FR"/>
        </w:rPr>
        <w:t>intérêt persistant des autorités à l</w:t>
      </w:r>
      <w:r w:rsidR="005C50CD" w:rsidRPr="005C50CD">
        <w:rPr>
          <w:lang w:val="fr-FR"/>
        </w:rPr>
        <w:t>’</w:t>
      </w:r>
      <w:r w:rsidR="0097336D" w:rsidRPr="005C50CD">
        <w:rPr>
          <w:lang w:val="fr-FR"/>
        </w:rPr>
        <w:t xml:space="preserve">encontre de sa famille. </w:t>
      </w:r>
      <w:r w:rsidR="00326F93" w:rsidRPr="005C50CD">
        <w:rPr>
          <w:lang w:val="fr-FR"/>
        </w:rPr>
        <w:t>La Cour estime que les autorités nationales n</w:t>
      </w:r>
      <w:r w:rsidR="005C50CD" w:rsidRPr="005C50CD">
        <w:rPr>
          <w:lang w:val="fr-FR"/>
        </w:rPr>
        <w:t>’</w:t>
      </w:r>
      <w:r w:rsidR="00326F93" w:rsidRPr="005C50CD">
        <w:rPr>
          <w:lang w:val="fr-FR"/>
        </w:rPr>
        <w:t>ont pas indiqué suffisamment les raisons pour lesquelles elles ont écarté les explications et les précisions que leur avait présentées le requérant</w:t>
      </w:r>
      <w:r w:rsidR="00DB25FF" w:rsidRPr="005C50CD">
        <w:rPr>
          <w:lang w:val="fr-FR"/>
        </w:rPr>
        <w:t>.</w:t>
      </w:r>
    </w:p>
    <w:p w:rsidR="005C50CD" w:rsidRPr="005C50CD" w:rsidRDefault="008E2A5E"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62</w:t>
      </w:r>
      <w:r w:rsidRPr="005C50CD">
        <w:rPr>
          <w:lang w:val="fr-FR"/>
        </w:rPr>
        <w:fldChar w:fldCharType="end"/>
      </w:r>
      <w:r w:rsidRPr="005C50CD">
        <w:rPr>
          <w:lang w:val="fr-FR"/>
        </w:rPr>
        <w:t>.  </w:t>
      </w:r>
      <w:r w:rsidR="00576B6F" w:rsidRPr="005C50CD">
        <w:rPr>
          <w:lang w:val="fr-FR"/>
        </w:rPr>
        <w:t>La Cour estime ainsi, au vu du récit du requérant, des documents produits et de la situation actuelle en Tchétchénie, qu</w:t>
      </w:r>
      <w:r w:rsidR="005C50CD" w:rsidRPr="005C50CD">
        <w:rPr>
          <w:lang w:val="fr-FR"/>
        </w:rPr>
        <w:t>’</w:t>
      </w:r>
      <w:r w:rsidR="00576B6F" w:rsidRPr="005C50CD">
        <w:rPr>
          <w:lang w:val="fr-FR"/>
        </w:rPr>
        <w:t>il existe, dans les circonstances particulières de l</w:t>
      </w:r>
      <w:r w:rsidR="005C50CD" w:rsidRPr="005C50CD">
        <w:rPr>
          <w:lang w:val="fr-FR"/>
        </w:rPr>
        <w:t>’</w:t>
      </w:r>
      <w:r w:rsidR="00576B6F" w:rsidRPr="005C50CD">
        <w:rPr>
          <w:lang w:val="fr-FR"/>
        </w:rPr>
        <w:t>espèce, un risque réel que celui-ci soit soumis à des traitements contraires à l</w:t>
      </w:r>
      <w:r w:rsidR="005C50CD" w:rsidRPr="005C50CD">
        <w:rPr>
          <w:lang w:val="fr-FR"/>
        </w:rPr>
        <w:t>’</w:t>
      </w:r>
      <w:r w:rsidR="00576B6F" w:rsidRPr="005C50CD">
        <w:rPr>
          <w:lang w:val="fr-FR"/>
        </w:rPr>
        <w:t>article 3 de la Convention de la part des autorités russes en cas de mise à exécution de la mesure de renvoi.</w:t>
      </w:r>
    </w:p>
    <w:p w:rsidR="00577062" w:rsidRPr="005C50CD" w:rsidRDefault="00576B6F"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63</w:t>
      </w:r>
      <w:r w:rsidRPr="005C50CD">
        <w:rPr>
          <w:lang w:val="fr-FR"/>
        </w:rPr>
        <w:fldChar w:fldCharType="end"/>
      </w:r>
      <w:r w:rsidRPr="005C50CD">
        <w:rPr>
          <w:lang w:val="fr-FR"/>
        </w:rPr>
        <w:t>.  Il s</w:t>
      </w:r>
      <w:r w:rsidR="005C50CD" w:rsidRPr="005C50CD">
        <w:rPr>
          <w:lang w:val="fr-FR"/>
        </w:rPr>
        <w:t>’</w:t>
      </w:r>
      <w:r w:rsidRPr="005C50CD">
        <w:rPr>
          <w:lang w:val="fr-FR"/>
        </w:rPr>
        <w:t>ensuit, pour la Cour, qu</w:t>
      </w:r>
      <w:r w:rsidR="005C50CD" w:rsidRPr="005C50CD">
        <w:rPr>
          <w:lang w:val="fr-FR"/>
        </w:rPr>
        <w:t>’</w:t>
      </w:r>
      <w:r w:rsidRPr="005C50CD">
        <w:rPr>
          <w:lang w:val="fr-FR"/>
        </w:rPr>
        <w:t>un renvoi du requérant vers la Fédération de Russie emporterait violation de l</w:t>
      </w:r>
      <w:r w:rsidR="005C50CD" w:rsidRPr="005C50CD">
        <w:rPr>
          <w:lang w:val="fr-FR"/>
        </w:rPr>
        <w:t>’</w:t>
      </w:r>
      <w:r w:rsidRPr="005C50CD">
        <w:rPr>
          <w:lang w:val="fr-FR"/>
        </w:rPr>
        <w:t>article 3 de la Convention.</w:t>
      </w:r>
    </w:p>
    <w:p w:rsidR="00344453" w:rsidRPr="005C50CD" w:rsidRDefault="009B4F3B" w:rsidP="005C50CD">
      <w:pPr>
        <w:pStyle w:val="ECHRHeading1"/>
        <w:numPr>
          <w:ilvl w:val="0"/>
          <w:numId w:val="0"/>
        </w:numPr>
        <w:ind w:left="357" w:hanging="357"/>
        <w:rPr>
          <w:lang w:val="fr-FR"/>
        </w:rPr>
      </w:pPr>
      <w:r w:rsidRPr="005C50CD">
        <w:rPr>
          <w:lang w:val="fr-FR"/>
        </w:rPr>
        <w:t>I</w:t>
      </w:r>
      <w:r w:rsidR="00344453" w:rsidRPr="005C50CD">
        <w:rPr>
          <w:lang w:val="fr-FR"/>
        </w:rPr>
        <w:t>I.  SUR L</w:t>
      </w:r>
      <w:r w:rsidR="005C50CD" w:rsidRPr="005C50CD">
        <w:rPr>
          <w:lang w:val="fr-FR"/>
        </w:rPr>
        <w:t>’</w:t>
      </w:r>
      <w:r w:rsidR="00344453" w:rsidRPr="005C50CD">
        <w:rPr>
          <w:lang w:val="fr-FR"/>
        </w:rPr>
        <w:t>APPLICATION DE L</w:t>
      </w:r>
      <w:r w:rsidR="005C50CD" w:rsidRPr="005C50CD">
        <w:rPr>
          <w:lang w:val="fr-FR"/>
        </w:rPr>
        <w:t>’</w:t>
      </w:r>
      <w:r w:rsidR="00344453" w:rsidRPr="005C50CD">
        <w:rPr>
          <w:lang w:val="fr-FR"/>
        </w:rPr>
        <w:t>ARTICLE 41 DE LA CONVENTION</w:t>
      </w:r>
    </w:p>
    <w:p w:rsidR="00344453" w:rsidRPr="005C50CD" w:rsidRDefault="00344453"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64</w:t>
      </w:r>
      <w:r w:rsidRPr="005C50CD">
        <w:rPr>
          <w:lang w:val="fr-FR"/>
        </w:rPr>
        <w:fldChar w:fldCharType="end"/>
      </w:r>
      <w:r w:rsidRPr="005C50CD">
        <w:rPr>
          <w:lang w:val="fr-FR"/>
        </w:rPr>
        <w:t>.  Aux termes de l</w:t>
      </w:r>
      <w:r w:rsidR="005C50CD" w:rsidRPr="005C50CD">
        <w:rPr>
          <w:lang w:val="fr-FR"/>
        </w:rPr>
        <w:t>’</w:t>
      </w:r>
      <w:r w:rsidRPr="005C50CD">
        <w:rPr>
          <w:lang w:val="fr-FR"/>
        </w:rPr>
        <w:t>article 41 de la Convention,</w:t>
      </w:r>
    </w:p>
    <w:p w:rsidR="00344453" w:rsidRPr="005C50CD" w:rsidRDefault="00344453" w:rsidP="005C50CD">
      <w:pPr>
        <w:pStyle w:val="ECHRParaQuote"/>
        <w:keepNext/>
        <w:keepLines/>
        <w:rPr>
          <w:lang w:val="fr-FR"/>
        </w:rPr>
      </w:pPr>
      <w:r w:rsidRPr="005C50CD">
        <w:rPr>
          <w:lang w:val="fr-FR"/>
        </w:rPr>
        <w:t>« Si la Cour déclare qu</w:t>
      </w:r>
      <w:r w:rsidR="005C50CD" w:rsidRPr="005C50CD">
        <w:rPr>
          <w:lang w:val="fr-FR"/>
        </w:rPr>
        <w:t>’</w:t>
      </w:r>
      <w:r w:rsidRPr="005C50CD">
        <w:rPr>
          <w:lang w:val="fr-FR"/>
        </w:rPr>
        <w:t>il y a eu violation de la Convention ou de ses Protocoles, et si le droit interne de la Haute Partie contractante ne permet d</w:t>
      </w:r>
      <w:r w:rsidR="005C50CD" w:rsidRPr="005C50CD">
        <w:rPr>
          <w:lang w:val="fr-FR"/>
        </w:rPr>
        <w:t>’</w:t>
      </w:r>
      <w:r w:rsidRPr="005C50CD">
        <w:rPr>
          <w:lang w:val="fr-FR"/>
        </w:rPr>
        <w:t>effacer qu</w:t>
      </w:r>
      <w:r w:rsidR="005C50CD" w:rsidRPr="005C50CD">
        <w:rPr>
          <w:lang w:val="fr-FR"/>
        </w:rPr>
        <w:t>’</w:t>
      </w:r>
      <w:r w:rsidRPr="005C50CD">
        <w:rPr>
          <w:lang w:val="fr-FR"/>
        </w:rPr>
        <w:t>imparfaitement les conséquences de cette violation, la Cour accorde à la partie lésée, s</w:t>
      </w:r>
      <w:r w:rsidR="005C50CD" w:rsidRPr="005C50CD">
        <w:rPr>
          <w:lang w:val="fr-FR"/>
        </w:rPr>
        <w:t>’</w:t>
      </w:r>
      <w:r w:rsidRPr="005C50CD">
        <w:rPr>
          <w:lang w:val="fr-FR"/>
        </w:rPr>
        <w:t>il y a lieu, une satisfaction équitable. »</w:t>
      </w:r>
    </w:p>
    <w:p w:rsidR="005C50CD" w:rsidRPr="005C50CD" w:rsidRDefault="00344453"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65</w:t>
      </w:r>
      <w:r w:rsidRPr="005C50CD">
        <w:rPr>
          <w:lang w:val="fr-FR"/>
        </w:rPr>
        <w:fldChar w:fldCharType="end"/>
      </w:r>
      <w:r w:rsidRPr="005C50CD">
        <w:rPr>
          <w:lang w:val="fr-FR"/>
        </w:rPr>
        <w:t>.  Le requérant estime que le constat d</w:t>
      </w:r>
      <w:r w:rsidR="005C50CD" w:rsidRPr="005C50CD">
        <w:rPr>
          <w:lang w:val="fr-FR"/>
        </w:rPr>
        <w:t>’</w:t>
      </w:r>
      <w:r w:rsidRPr="005C50CD">
        <w:rPr>
          <w:lang w:val="fr-FR"/>
        </w:rPr>
        <w:t>une violation potentielle de l</w:t>
      </w:r>
      <w:r w:rsidR="005C50CD" w:rsidRPr="005C50CD">
        <w:rPr>
          <w:lang w:val="fr-FR"/>
        </w:rPr>
        <w:t>’</w:t>
      </w:r>
      <w:r w:rsidR="00E97DF8" w:rsidRPr="005C50CD">
        <w:rPr>
          <w:lang w:val="fr-FR"/>
        </w:rPr>
        <w:t>article </w:t>
      </w:r>
      <w:r w:rsidRPr="005C50CD">
        <w:rPr>
          <w:lang w:val="fr-FR"/>
        </w:rPr>
        <w:t>3 de la Convention constituerait en lui-même une satisfaction équitable suffisante pour le dommage moral qu</w:t>
      </w:r>
      <w:r w:rsidR="005C50CD" w:rsidRPr="005C50CD">
        <w:rPr>
          <w:lang w:val="fr-FR"/>
        </w:rPr>
        <w:t>’</w:t>
      </w:r>
      <w:r w:rsidRPr="005C50CD">
        <w:rPr>
          <w:lang w:val="fr-FR"/>
        </w:rPr>
        <w:t>il a subi.</w:t>
      </w:r>
    </w:p>
    <w:p w:rsidR="00344453" w:rsidRPr="005C50CD" w:rsidRDefault="00344453"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66</w:t>
      </w:r>
      <w:r w:rsidRPr="005C50CD">
        <w:rPr>
          <w:lang w:val="fr-FR"/>
        </w:rPr>
        <w:fldChar w:fldCharType="end"/>
      </w:r>
      <w:r w:rsidRPr="005C50CD">
        <w:rPr>
          <w:lang w:val="fr-FR"/>
        </w:rPr>
        <w:t>.  Le Gouvernement ne fait aucun commentaire à ce sujet.</w:t>
      </w:r>
    </w:p>
    <w:p w:rsidR="00344453" w:rsidRPr="005C50CD" w:rsidRDefault="00344453"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67</w:t>
      </w:r>
      <w:r w:rsidRPr="005C50CD">
        <w:rPr>
          <w:lang w:val="fr-FR"/>
        </w:rPr>
        <w:fldChar w:fldCharType="end"/>
      </w:r>
      <w:r w:rsidRPr="005C50CD">
        <w:rPr>
          <w:lang w:val="fr-FR"/>
        </w:rPr>
        <w:t>.  La Cour considère qu</w:t>
      </w:r>
      <w:r w:rsidR="005C50CD" w:rsidRPr="005C50CD">
        <w:rPr>
          <w:lang w:val="fr-FR"/>
        </w:rPr>
        <w:t>’</w:t>
      </w:r>
      <w:r w:rsidRPr="005C50CD">
        <w:rPr>
          <w:lang w:val="fr-FR"/>
        </w:rPr>
        <w:t>eu égard aux circonstances de l</w:t>
      </w:r>
      <w:r w:rsidR="005C50CD" w:rsidRPr="005C50CD">
        <w:rPr>
          <w:lang w:val="fr-FR"/>
        </w:rPr>
        <w:t>’</w:t>
      </w:r>
      <w:r w:rsidRPr="005C50CD">
        <w:rPr>
          <w:lang w:val="fr-FR"/>
        </w:rPr>
        <w:t>espèce, le constat d</w:t>
      </w:r>
      <w:r w:rsidR="005C50CD" w:rsidRPr="005C50CD">
        <w:rPr>
          <w:lang w:val="fr-FR"/>
        </w:rPr>
        <w:t>’</w:t>
      </w:r>
      <w:r w:rsidRPr="005C50CD">
        <w:rPr>
          <w:lang w:val="fr-FR"/>
        </w:rPr>
        <w:t>une violation potentielle de l</w:t>
      </w:r>
      <w:r w:rsidR="005C50CD" w:rsidRPr="005C50CD">
        <w:rPr>
          <w:lang w:val="fr-FR"/>
        </w:rPr>
        <w:t>’</w:t>
      </w:r>
      <w:r w:rsidRPr="005C50CD">
        <w:rPr>
          <w:lang w:val="fr-FR"/>
        </w:rPr>
        <w:t>article 3 de la Convention constitue en lui-même une satisfaction équitable suffisante pour tout dommage moral pouvant avoir été subi par le requérant.</w:t>
      </w:r>
    </w:p>
    <w:p w:rsidR="00344453" w:rsidRPr="005C50CD" w:rsidRDefault="00344453"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68</w:t>
      </w:r>
      <w:r w:rsidRPr="005C50CD">
        <w:rPr>
          <w:lang w:val="fr-FR"/>
        </w:rPr>
        <w:fldChar w:fldCharType="end"/>
      </w:r>
      <w:r w:rsidRPr="005C50CD">
        <w:rPr>
          <w:lang w:val="fr-FR"/>
        </w:rPr>
        <w:t>.  Le requérant n</w:t>
      </w:r>
      <w:r w:rsidR="005C50CD" w:rsidRPr="005C50CD">
        <w:rPr>
          <w:lang w:val="fr-FR"/>
        </w:rPr>
        <w:t>’</w:t>
      </w:r>
      <w:r w:rsidRPr="005C50CD">
        <w:rPr>
          <w:lang w:val="fr-FR"/>
        </w:rPr>
        <w:t>a présenté aucune demande au titre des frais et dépens. Partant, la Cour estime qu</w:t>
      </w:r>
      <w:r w:rsidR="005C50CD" w:rsidRPr="005C50CD">
        <w:rPr>
          <w:lang w:val="fr-FR"/>
        </w:rPr>
        <w:t>’</w:t>
      </w:r>
      <w:r w:rsidRPr="005C50CD">
        <w:rPr>
          <w:lang w:val="fr-FR"/>
        </w:rPr>
        <w:t>il n</w:t>
      </w:r>
      <w:r w:rsidR="005C50CD" w:rsidRPr="005C50CD">
        <w:rPr>
          <w:lang w:val="fr-FR"/>
        </w:rPr>
        <w:t>’</w:t>
      </w:r>
      <w:r w:rsidRPr="005C50CD">
        <w:rPr>
          <w:lang w:val="fr-FR"/>
        </w:rPr>
        <w:t>y a pas lieu de lui octroyer de somme à ce titre.</w:t>
      </w:r>
    </w:p>
    <w:p w:rsidR="008D400B" w:rsidRPr="005C50CD" w:rsidRDefault="00344453" w:rsidP="005C50CD">
      <w:pPr>
        <w:pStyle w:val="ECHRHeading1"/>
        <w:numPr>
          <w:ilvl w:val="0"/>
          <w:numId w:val="0"/>
        </w:numPr>
        <w:ind w:left="357" w:hanging="357"/>
        <w:rPr>
          <w:lang w:val="fr-FR"/>
        </w:rPr>
      </w:pPr>
      <w:bookmarkStart w:id="2" w:name="OLE_LINK1"/>
      <w:r w:rsidRPr="005C50CD">
        <w:rPr>
          <w:lang w:val="fr-FR"/>
        </w:rPr>
        <w:lastRenderedPageBreak/>
        <w:t>I</w:t>
      </w:r>
      <w:r w:rsidR="009B4F3B" w:rsidRPr="005C50CD">
        <w:rPr>
          <w:lang w:val="fr-FR"/>
        </w:rPr>
        <w:t>II</w:t>
      </w:r>
      <w:r w:rsidR="008D400B" w:rsidRPr="005C50CD">
        <w:rPr>
          <w:lang w:val="fr-FR"/>
        </w:rPr>
        <w:t>.  SUR L</w:t>
      </w:r>
      <w:r w:rsidR="005C50CD" w:rsidRPr="005C50CD">
        <w:rPr>
          <w:lang w:val="fr-FR"/>
        </w:rPr>
        <w:t>’</w:t>
      </w:r>
      <w:r w:rsidR="008D400B" w:rsidRPr="005C50CD">
        <w:rPr>
          <w:lang w:val="fr-FR"/>
        </w:rPr>
        <w:t>APPLICATION DE L</w:t>
      </w:r>
      <w:r w:rsidR="005C50CD" w:rsidRPr="005C50CD">
        <w:rPr>
          <w:lang w:val="fr-FR"/>
        </w:rPr>
        <w:t>’</w:t>
      </w:r>
      <w:r w:rsidR="008D400B" w:rsidRPr="005C50CD">
        <w:rPr>
          <w:lang w:val="fr-FR"/>
        </w:rPr>
        <w:t>ARTICLE 39 DU RÈGLEMENT DE LA COUR</w:t>
      </w:r>
    </w:p>
    <w:p w:rsidR="008D400B" w:rsidRPr="005C50CD" w:rsidRDefault="00344453"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69</w:t>
      </w:r>
      <w:r w:rsidRPr="005C50CD">
        <w:rPr>
          <w:lang w:val="fr-FR"/>
        </w:rPr>
        <w:fldChar w:fldCharType="end"/>
      </w:r>
      <w:r w:rsidRPr="005C50CD">
        <w:rPr>
          <w:lang w:val="fr-FR"/>
        </w:rPr>
        <w:t>.  </w:t>
      </w:r>
      <w:r w:rsidR="008D400B" w:rsidRPr="005C50CD">
        <w:rPr>
          <w:lang w:val="fr-FR"/>
        </w:rPr>
        <w:t>La Cour rappelle que, conformément à l</w:t>
      </w:r>
      <w:r w:rsidR="005C50CD" w:rsidRPr="005C50CD">
        <w:rPr>
          <w:lang w:val="fr-FR"/>
        </w:rPr>
        <w:t>’</w:t>
      </w:r>
      <w:r w:rsidR="008D400B" w:rsidRPr="005C50CD">
        <w:rPr>
          <w:lang w:val="fr-FR"/>
        </w:rPr>
        <w:t>article 44 § 2 de la Convention, le pr</w:t>
      </w:r>
      <w:r w:rsidR="0038651E" w:rsidRPr="005C50CD">
        <w:rPr>
          <w:lang w:val="fr-FR"/>
        </w:rPr>
        <w:t>ésent arrêt deviendra définitif : a)  </w:t>
      </w:r>
      <w:r w:rsidR="008D400B" w:rsidRPr="005C50CD">
        <w:rPr>
          <w:lang w:val="fr-FR"/>
        </w:rPr>
        <w:t>lorsque les parties déclareront qu</w:t>
      </w:r>
      <w:r w:rsidR="005C50CD" w:rsidRPr="005C50CD">
        <w:rPr>
          <w:lang w:val="fr-FR"/>
        </w:rPr>
        <w:t>’</w:t>
      </w:r>
      <w:r w:rsidR="008D400B" w:rsidRPr="005C50CD">
        <w:rPr>
          <w:lang w:val="fr-FR"/>
        </w:rPr>
        <w:t>elles ne demanderont pas le renvoi de l</w:t>
      </w:r>
      <w:r w:rsidR="005C50CD" w:rsidRPr="005C50CD">
        <w:rPr>
          <w:lang w:val="fr-FR"/>
        </w:rPr>
        <w:t>’</w:t>
      </w:r>
      <w:r w:rsidR="008D400B" w:rsidRPr="005C50CD">
        <w:rPr>
          <w:lang w:val="fr-FR"/>
        </w:rPr>
        <w:t>af</w:t>
      </w:r>
      <w:r w:rsidR="0038651E" w:rsidRPr="005C50CD">
        <w:rPr>
          <w:lang w:val="fr-FR"/>
        </w:rPr>
        <w:t>faire devant la Grande Chambre ; ou b)  </w:t>
      </w:r>
      <w:r w:rsidR="008D400B" w:rsidRPr="005C50CD">
        <w:rPr>
          <w:lang w:val="fr-FR"/>
        </w:rPr>
        <w:t>trois mois après la date de l</w:t>
      </w:r>
      <w:r w:rsidR="005C50CD" w:rsidRPr="005C50CD">
        <w:rPr>
          <w:lang w:val="fr-FR"/>
        </w:rPr>
        <w:t>’</w:t>
      </w:r>
      <w:r w:rsidR="008D400B" w:rsidRPr="005C50CD">
        <w:rPr>
          <w:lang w:val="fr-FR"/>
        </w:rPr>
        <w:t>arrêt, si le renvoi de l</w:t>
      </w:r>
      <w:r w:rsidR="005C50CD" w:rsidRPr="005C50CD">
        <w:rPr>
          <w:lang w:val="fr-FR"/>
        </w:rPr>
        <w:t>’</w:t>
      </w:r>
      <w:r w:rsidR="008D400B" w:rsidRPr="005C50CD">
        <w:rPr>
          <w:lang w:val="fr-FR"/>
        </w:rPr>
        <w:t>affaire devant la Grande Chambre n</w:t>
      </w:r>
      <w:r w:rsidR="005C50CD" w:rsidRPr="005C50CD">
        <w:rPr>
          <w:lang w:val="fr-FR"/>
        </w:rPr>
        <w:t>’</w:t>
      </w:r>
      <w:r w:rsidR="0038651E" w:rsidRPr="005C50CD">
        <w:rPr>
          <w:lang w:val="fr-FR"/>
        </w:rPr>
        <w:t>a pas été demandé ;</w:t>
      </w:r>
      <w:r w:rsidR="008D400B" w:rsidRPr="005C50CD">
        <w:rPr>
          <w:lang w:val="fr-FR"/>
        </w:rPr>
        <w:t xml:space="preserve"> ou c)</w:t>
      </w:r>
      <w:r w:rsidR="0038651E" w:rsidRPr="005C50CD">
        <w:rPr>
          <w:lang w:val="fr-FR"/>
        </w:rPr>
        <w:t>  </w:t>
      </w:r>
      <w:r w:rsidR="008D400B" w:rsidRPr="005C50CD">
        <w:rPr>
          <w:lang w:val="fr-FR"/>
        </w:rPr>
        <w:t>lorsque le collège de la Grande Chambre rejettera la demande de renvoi formulée en application de l</w:t>
      </w:r>
      <w:r w:rsidR="005C50CD" w:rsidRPr="005C50CD">
        <w:rPr>
          <w:lang w:val="fr-FR"/>
        </w:rPr>
        <w:t>’</w:t>
      </w:r>
      <w:r w:rsidR="008D400B" w:rsidRPr="005C50CD">
        <w:rPr>
          <w:lang w:val="fr-FR"/>
        </w:rPr>
        <w:t>article 43.</w:t>
      </w:r>
    </w:p>
    <w:p w:rsidR="00E77CB3" w:rsidRPr="005C50CD" w:rsidRDefault="008D400B" w:rsidP="005C50CD">
      <w:pPr>
        <w:pStyle w:val="ECHRPara"/>
        <w:rPr>
          <w:lang w:val="fr-FR"/>
        </w:rPr>
      </w:pPr>
      <w:r w:rsidRPr="005C50CD">
        <w:rPr>
          <w:lang w:val="fr-FR"/>
        </w:rPr>
        <w:fldChar w:fldCharType="begin"/>
      </w:r>
      <w:r w:rsidRPr="005C50CD">
        <w:rPr>
          <w:lang w:val="fr-FR"/>
        </w:rPr>
        <w:instrText xml:space="preserve"> SEQ level0 \*arabic </w:instrText>
      </w:r>
      <w:r w:rsidRPr="005C50CD">
        <w:rPr>
          <w:lang w:val="fr-FR"/>
        </w:rPr>
        <w:fldChar w:fldCharType="separate"/>
      </w:r>
      <w:r w:rsidR="005C50CD" w:rsidRPr="005C50CD">
        <w:rPr>
          <w:noProof/>
          <w:lang w:val="fr-FR"/>
        </w:rPr>
        <w:t>70</w:t>
      </w:r>
      <w:r w:rsidRPr="005C50CD">
        <w:rPr>
          <w:lang w:val="fr-FR"/>
        </w:rPr>
        <w:fldChar w:fldCharType="end"/>
      </w:r>
      <w:r w:rsidRPr="005C50CD">
        <w:rPr>
          <w:lang w:val="fr-FR"/>
        </w:rPr>
        <w:t>.  Elle considère que les mesures qu</w:t>
      </w:r>
      <w:r w:rsidR="005C50CD" w:rsidRPr="005C50CD">
        <w:rPr>
          <w:lang w:val="fr-FR"/>
        </w:rPr>
        <w:t>’</w:t>
      </w:r>
      <w:r w:rsidRPr="005C50CD">
        <w:rPr>
          <w:lang w:val="fr-FR"/>
        </w:rPr>
        <w:t>elle a indiquées au Gouvernement en application de l</w:t>
      </w:r>
      <w:r w:rsidR="005C50CD" w:rsidRPr="005C50CD">
        <w:rPr>
          <w:lang w:val="fr-FR"/>
        </w:rPr>
        <w:t>’</w:t>
      </w:r>
      <w:r w:rsidRPr="005C50CD">
        <w:rPr>
          <w:lang w:val="fr-FR"/>
        </w:rPr>
        <w:t>article 3</w:t>
      </w:r>
      <w:r w:rsidR="0064194C" w:rsidRPr="005C50CD">
        <w:rPr>
          <w:lang w:val="fr-FR"/>
        </w:rPr>
        <w:t>9 de son règlement (paragraphe 2</w:t>
      </w:r>
      <w:r w:rsidR="0093019F" w:rsidRPr="005C50CD">
        <w:rPr>
          <w:lang w:val="fr-FR"/>
        </w:rPr>
        <w:t>4</w:t>
      </w:r>
      <w:r w:rsidR="0064194C" w:rsidRPr="005C50CD">
        <w:rPr>
          <w:lang w:val="fr-FR"/>
        </w:rPr>
        <w:t xml:space="preserve"> </w:t>
      </w:r>
      <w:r w:rsidRPr="005C50CD">
        <w:rPr>
          <w:lang w:val="fr-FR"/>
        </w:rPr>
        <w:t>ci-dessus) doivent demeurer en vigueur jusqu</w:t>
      </w:r>
      <w:r w:rsidR="005C50CD" w:rsidRPr="005C50CD">
        <w:rPr>
          <w:lang w:val="fr-FR"/>
        </w:rPr>
        <w:t>’</w:t>
      </w:r>
      <w:r w:rsidRPr="005C50CD">
        <w:rPr>
          <w:lang w:val="fr-FR"/>
        </w:rPr>
        <w:t>à ce que le présent arrêt devienne définitif ou que la Cour rende une autre décision à cet égard (voir dispositif).</w:t>
      </w:r>
      <w:bookmarkEnd w:id="2"/>
    </w:p>
    <w:p w:rsidR="00E77CB3" w:rsidRPr="005C50CD" w:rsidRDefault="00E77CB3" w:rsidP="005C50CD">
      <w:pPr>
        <w:pStyle w:val="ECHRTitle1"/>
        <w:rPr>
          <w:lang w:val="fr-FR"/>
        </w:rPr>
      </w:pPr>
      <w:r w:rsidRPr="005C50CD">
        <w:rPr>
          <w:lang w:val="fr-FR"/>
        </w:rPr>
        <w:t>PAR CES MOTIFS, LA COUR</w:t>
      </w:r>
      <w:r w:rsidR="00674263" w:rsidRPr="005C50CD">
        <w:rPr>
          <w:lang w:val="fr-FR"/>
        </w:rPr>
        <w:t>, À L</w:t>
      </w:r>
      <w:r w:rsidR="005C50CD" w:rsidRPr="005C50CD">
        <w:rPr>
          <w:lang w:val="fr-FR"/>
        </w:rPr>
        <w:t>’</w:t>
      </w:r>
      <w:r w:rsidR="00674263" w:rsidRPr="005C50CD">
        <w:rPr>
          <w:lang w:val="fr-FR"/>
        </w:rPr>
        <w:t>UNANIMITÉ,</w:t>
      </w:r>
    </w:p>
    <w:p w:rsidR="00FB2B45" w:rsidRPr="005C50CD" w:rsidRDefault="00FB2B45" w:rsidP="005C50CD">
      <w:pPr>
        <w:pStyle w:val="JuList"/>
        <w:rPr>
          <w:lang w:val="fr-FR"/>
        </w:rPr>
      </w:pPr>
      <w:r w:rsidRPr="005C50CD">
        <w:rPr>
          <w:lang w:val="fr-FR"/>
        </w:rPr>
        <w:t>1.  </w:t>
      </w:r>
      <w:r w:rsidRPr="005C50CD">
        <w:rPr>
          <w:i/>
          <w:lang w:val="fr-FR"/>
        </w:rPr>
        <w:t>Déclare</w:t>
      </w:r>
      <w:r w:rsidRPr="005C50CD">
        <w:rPr>
          <w:lang w:val="fr-FR"/>
        </w:rPr>
        <w:t xml:space="preserve"> </w:t>
      </w:r>
      <w:r w:rsidR="00674263" w:rsidRPr="005C50CD">
        <w:rPr>
          <w:lang w:val="fr-FR"/>
        </w:rPr>
        <w:t xml:space="preserve">la </w:t>
      </w:r>
      <w:r w:rsidR="008D400B" w:rsidRPr="005C50CD">
        <w:rPr>
          <w:lang w:val="fr-FR"/>
        </w:rPr>
        <w:t>requête recevable</w:t>
      </w:r>
      <w:r w:rsidR="007B30DC" w:rsidRPr="005C50CD">
        <w:rPr>
          <w:lang w:val="fr-FR"/>
        </w:rPr>
        <w:t> ;</w:t>
      </w:r>
    </w:p>
    <w:p w:rsidR="00344453" w:rsidRPr="005C50CD" w:rsidRDefault="00344453" w:rsidP="005C50CD">
      <w:pPr>
        <w:pStyle w:val="JuList"/>
        <w:rPr>
          <w:lang w:val="fr-FR"/>
        </w:rPr>
      </w:pPr>
    </w:p>
    <w:p w:rsidR="00344453" w:rsidRPr="005C50CD" w:rsidRDefault="00344453" w:rsidP="005C50CD">
      <w:pPr>
        <w:pStyle w:val="JuList"/>
        <w:rPr>
          <w:lang w:val="fr-FR"/>
        </w:rPr>
      </w:pPr>
      <w:r w:rsidRPr="005C50CD">
        <w:rPr>
          <w:lang w:val="fr-FR"/>
        </w:rPr>
        <w:t>2.  </w:t>
      </w:r>
      <w:r w:rsidRPr="005C50CD">
        <w:rPr>
          <w:i/>
          <w:lang w:val="fr-FR"/>
        </w:rPr>
        <w:t>Dit</w:t>
      </w:r>
      <w:r w:rsidRPr="005C50CD">
        <w:rPr>
          <w:lang w:val="fr-FR"/>
        </w:rPr>
        <w:t xml:space="preserve"> que, dans l</w:t>
      </w:r>
      <w:r w:rsidR="005C50CD" w:rsidRPr="005C50CD">
        <w:rPr>
          <w:lang w:val="fr-FR"/>
        </w:rPr>
        <w:t>’</w:t>
      </w:r>
      <w:r w:rsidRPr="005C50CD">
        <w:rPr>
          <w:lang w:val="fr-FR"/>
        </w:rPr>
        <w:t>éventualité de la mise à exécution de la décision de renvoyer le requérant vers la Fédération de Russie, il y aurait violation de l</w:t>
      </w:r>
      <w:r w:rsidR="005C50CD" w:rsidRPr="005C50CD">
        <w:rPr>
          <w:lang w:val="fr-FR"/>
        </w:rPr>
        <w:t>’</w:t>
      </w:r>
      <w:r w:rsidRPr="005C50CD">
        <w:rPr>
          <w:lang w:val="fr-FR"/>
        </w:rPr>
        <w:t>article 3 de la Convention ;</w:t>
      </w:r>
    </w:p>
    <w:p w:rsidR="008D400B" w:rsidRPr="005C50CD" w:rsidRDefault="008D400B" w:rsidP="005C50CD">
      <w:pPr>
        <w:pStyle w:val="JuList"/>
        <w:rPr>
          <w:lang w:val="fr-FR"/>
        </w:rPr>
      </w:pPr>
    </w:p>
    <w:p w:rsidR="00E77CB3" w:rsidRPr="005C50CD" w:rsidRDefault="00344453" w:rsidP="005C50CD">
      <w:pPr>
        <w:pStyle w:val="JuList"/>
        <w:rPr>
          <w:lang w:val="fr-FR"/>
        </w:rPr>
      </w:pPr>
      <w:r w:rsidRPr="005C50CD">
        <w:rPr>
          <w:rFonts w:eastAsia="Times New Roman" w:cs="Calibri"/>
          <w:szCs w:val="24"/>
          <w:lang w:val="fr-FR"/>
        </w:rPr>
        <w:t>3</w:t>
      </w:r>
      <w:r w:rsidR="008D400B" w:rsidRPr="005C50CD">
        <w:rPr>
          <w:lang w:val="fr-FR"/>
        </w:rPr>
        <w:t>.  </w:t>
      </w:r>
      <w:r w:rsidR="008D400B" w:rsidRPr="005C50CD">
        <w:rPr>
          <w:i/>
          <w:lang w:val="fr-FR"/>
        </w:rPr>
        <w:t>Dit</w:t>
      </w:r>
      <w:r w:rsidR="008D400B" w:rsidRPr="005C50CD">
        <w:rPr>
          <w:lang w:val="fr-FR"/>
        </w:rPr>
        <w:t xml:space="preserve"> que le constat d</w:t>
      </w:r>
      <w:r w:rsidR="005C50CD" w:rsidRPr="005C50CD">
        <w:rPr>
          <w:lang w:val="fr-FR"/>
        </w:rPr>
        <w:t>’</w:t>
      </w:r>
      <w:r w:rsidR="008D400B" w:rsidRPr="005C50CD">
        <w:rPr>
          <w:lang w:val="fr-FR"/>
        </w:rPr>
        <w:t>une violation fournit en soi une satisfaction équitable suffisante pour le dommage moral subi par le requérant ;</w:t>
      </w:r>
    </w:p>
    <w:p w:rsidR="00E77CB3" w:rsidRPr="005C50CD" w:rsidRDefault="00E77CB3" w:rsidP="005C50CD">
      <w:pPr>
        <w:pStyle w:val="JuList"/>
        <w:rPr>
          <w:lang w:val="fr-FR"/>
        </w:rPr>
      </w:pPr>
    </w:p>
    <w:p w:rsidR="00344453" w:rsidRPr="005C50CD" w:rsidRDefault="00344453" w:rsidP="005C50CD">
      <w:pPr>
        <w:pStyle w:val="JuList"/>
        <w:rPr>
          <w:lang w:val="fr-FR"/>
        </w:rPr>
      </w:pPr>
      <w:r w:rsidRPr="005C50CD">
        <w:rPr>
          <w:lang w:val="fr-FR"/>
        </w:rPr>
        <w:t>4.  </w:t>
      </w:r>
      <w:r w:rsidRPr="005C50CD">
        <w:rPr>
          <w:i/>
          <w:lang w:val="fr-FR"/>
        </w:rPr>
        <w:t>Décide</w:t>
      </w:r>
      <w:r w:rsidRPr="005C50CD">
        <w:rPr>
          <w:lang w:val="fr-FR"/>
        </w:rPr>
        <w:t xml:space="preserve"> de continuer à indiquer au Gouvernement, en application de l</w:t>
      </w:r>
      <w:r w:rsidR="005C50CD" w:rsidRPr="005C50CD">
        <w:rPr>
          <w:lang w:val="fr-FR"/>
        </w:rPr>
        <w:t>’</w:t>
      </w:r>
      <w:r w:rsidRPr="005C50CD">
        <w:rPr>
          <w:lang w:val="fr-FR"/>
        </w:rPr>
        <w:t>article 39 de son règlement, qu</w:t>
      </w:r>
      <w:r w:rsidR="005C50CD" w:rsidRPr="005C50CD">
        <w:rPr>
          <w:lang w:val="fr-FR"/>
        </w:rPr>
        <w:t>’</w:t>
      </w:r>
      <w:r w:rsidRPr="005C50CD">
        <w:rPr>
          <w:lang w:val="fr-FR"/>
        </w:rPr>
        <w:t>il est souhaitable, dans l</w:t>
      </w:r>
      <w:r w:rsidR="005C50CD" w:rsidRPr="005C50CD">
        <w:rPr>
          <w:lang w:val="fr-FR"/>
        </w:rPr>
        <w:t>’</w:t>
      </w:r>
      <w:r w:rsidRPr="005C50CD">
        <w:rPr>
          <w:lang w:val="fr-FR"/>
        </w:rPr>
        <w:t>intérêt du bon déroulement de la procédure, de ne pas expulser le requérant jusqu</w:t>
      </w:r>
      <w:r w:rsidR="005C50CD" w:rsidRPr="005C50CD">
        <w:rPr>
          <w:lang w:val="fr-FR"/>
        </w:rPr>
        <w:t>’</w:t>
      </w:r>
      <w:r w:rsidRPr="005C50CD">
        <w:rPr>
          <w:lang w:val="fr-FR"/>
        </w:rPr>
        <w:t>à ce que le présent arrêt devienne définitif ou que la Cour rende une autre décision à cet égard.</w:t>
      </w:r>
    </w:p>
    <w:p w:rsidR="00E77CB3" w:rsidRPr="005C50CD" w:rsidRDefault="00E77CB3" w:rsidP="005C50CD">
      <w:pPr>
        <w:pStyle w:val="JuParaLast"/>
        <w:rPr>
          <w:lang w:val="fr-FR"/>
        </w:rPr>
      </w:pPr>
      <w:r w:rsidRPr="005C50CD">
        <w:rPr>
          <w:lang w:val="fr-FR"/>
        </w:rPr>
        <w:t>Fait en françai</w:t>
      </w:r>
      <w:r w:rsidR="00AE19D6" w:rsidRPr="005C50CD">
        <w:rPr>
          <w:lang w:val="fr-FR"/>
        </w:rPr>
        <w:t>s, puis communiqué par écrit le 7 juillet 2016</w:t>
      </w:r>
      <w:r w:rsidRPr="005C50CD">
        <w:rPr>
          <w:lang w:val="fr-FR"/>
        </w:rPr>
        <w:t>, en application de l</w:t>
      </w:r>
      <w:r w:rsidR="005C50CD" w:rsidRPr="005C50CD">
        <w:rPr>
          <w:lang w:val="fr-FR"/>
        </w:rPr>
        <w:t>’</w:t>
      </w:r>
      <w:r w:rsidRPr="005C50CD">
        <w:rPr>
          <w:lang w:val="fr-FR"/>
        </w:rPr>
        <w:t>article 77 §§ 2 et 3 du règlement</w:t>
      </w:r>
      <w:r w:rsidR="00AC0824" w:rsidRPr="005C50CD">
        <w:rPr>
          <w:lang w:val="fr-FR"/>
        </w:rPr>
        <w:t xml:space="preserve"> de la Cour</w:t>
      </w:r>
      <w:r w:rsidRPr="005C50CD">
        <w:rPr>
          <w:lang w:val="fr-FR"/>
        </w:rPr>
        <w:t>.</w:t>
      </w:r>
    </w:p>
    <w:p w:rsidR="00E77CB3" w:rsidRPr="005C50CD" w:rsidRDefault="008D400B" w:rsidP="005C50CD">
      <w:pPr>
        <w:pStyle w:val="JuSigned"/>
        <w:keepNext/>
        <w:keepLines/>
        <w:rPr>
          <w:lang w:val="fr-FR"/>
        </w:rPr>
      </w:pPr>
      <w:r w:rsidRPr="005C50CD">
        <w:rPr>
          <w:lang w:val="fr-FR"/>
        </w:rPr>
        <w:tab/>
        <w:t>Claudia Westerdiek</w:t>
      </w:r>
      <w:r w:rsidR="00E77CB3" w:rsidRPr="005C50CD">
        <w:rPr>
          <w:lang w:val="fr-FR"/>
        </w:rPr>
        <w:tab/>
      </w:r>
      <w:r w:rsidRPr="005C50CD">
        <w:rPr>
          <w:szCs w:val="24"/>
          <w:lang w:val="fr-FR"/>
        </w:rPr>
        <w:t>Angelika Nußberger</w:t>
      </w:r>
      <w:r w:rsidR="00E77CB3" w:rsidRPr="005C50CD">
        <w:rPr>
          <w:lang w:val="fr-FR"/>
        </w:rPr>
        <w:br/>
      </w:r>
      <w:r w:rsidR="00E77CB3" w:rsidRPr="005C50CD">
        <w:rPr>
          <w:lang w:val="fr-FR"/>
        </w:rPr>
        <w:tab/>
      </w:r>
      <w:r w:rsidRPr="005C50CD">
        <w:rPr>
          <w:lang w:val="fr-FR"/>
        </w:rPr>
        <w:t>Greffière</w:t>
      </w:r>
      <w:r w:rsidR="00E77CB3" w:rsidRPr="005C50CD">
        <w:rPr>
          <w:lang w:val="fr-FR"/>
        </w:rPr>
        <w:tab/>
      </w:r>
      <w:r w:rsidRPr="005C50CD">
        <w:rPr>
          <w:lang w:val="fr-FR"/>
        </w:rPr>
        <w:t>Présidente</w:t>
      </w:r>
    </w:p>
    <w:sectPr w:rsidR="00E77CB3" w:rsidRPr="005C50CD" w:rsidSect="00AE19D6">
      <w:headerReference w:type="even" r:id="rId14"/>
      <w:headerReference w:type="default" r:id="rId15"/>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E2F" w:rsidRPr="0045067D" w:rsidRDefault="004B6E2F" w:rsidP="00E77CB3">
      <w:pPr>
        <w:rPr>
          <w:lang w:val="fr-FR"/>
        </w:rPr>
      </w:pPr>
      <w:r w:rsidRPr="0045067D">
        <w:rPr>
          <w:lang w:val="fr-FR"/>
        </w:rPr>
        <w:separator/>
      </w:r>
    </w:p>
  </w:endnote>
  <w:endnote w:type="continuationSeparator" w:id="0">
    <w:p w:rsidR="004B6E2F" w:rsidRPr="0045067D" w:rsidRDefault="004B6E2F" w:rsidP="00E77CB3">
      <w:pPr>
        <w:rPr>
          <w:lang w:val="fr-FR"/>
        </w:rPr>
      </w:pPr>
      <w:r w:rsidRPr="0045067D">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pitch w:val="fixed"/>
    <w:sig w:usb0="00000001" w:usb1="08070000" w:usb2="00000010" w:usb3="00000000" w:csb0="00020000" w:csb1="00000000"/>
  </w:font>
  <w:font w:name="MS Gothic">
    <w:altName w:val="?l?r ?S?V?b?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9D6" w:rsidRDefault="00AE1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E2F" w:rsidRPr="0045067D" w:rsidRDefault="004B6E2F" w:rsidP="00E77CB3">
      <w:pPr>
        <w:rPr>
          <w:lang w:val="fr-FR"/>
        </w:rPr>
      </w:pPr>
      <w:r w:rsidRPr="0045067D">
        <w:rPr>
          <w:lang w:val="fr-FR"/>
        </w:rPr>
        <w:separator/>
      </w:r>
    </w:p>
  </w:footnote>
  <w:footnote w:type="continuationSeparator" w:id="0">
    <w:p w:rsidR="004B6E2F" w:rsidRPr="0045067D" w:rsidRDefault="004B6E2F" w:rsidP="00E77CB3">
      <w:pPr>
        <w:rPr>
          <w:lang w:val="fr-FR"/>
        </w:rPr>
      </w:pPr>
      <w:r w:rsidRPr="0045067D">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B6F" w:rsidRPr="00AE19D6" w:rsidRDefault="00576B6F" w:rsidP="00AE19D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B6F" w:rsidRDefault="00576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9D6" w:rsidRPr="00EF0A2E" w:rsidRDefault="00AE19D6" w:rsidP="00C611D8">
    <w:pPr>
      <w:pStyle w:val="ECHRHeader"/>
    </w:pPr>
    <w:r>
      <w:rPr>
        <w:rStyle w:val="PageNumber"/>
      </w:rPr>
      <w:fldChar w:fldCharType="begin"/>
    </w:r>
    <w:r>
      <w:rPr>
        <w:rStyle w:val="PageNumber"/>
      </w:rPr>
      <w:instrText xml:space="preserve"> PAGE </w:instrText>
    </w:r>
    <w:r>
      <w:rPr>
        <w:rStyle w:val="PageNumber"/>
      </w:rPr>
      <w:fldChar w:fldCharType="separate"/>
    </w:r>
    <w:r w:rsidR="0076213C">
      <w:rPr>
        <w:rStyle w:val="PageNumber"/>
        <w:noProof/>
      </w:rPr>
      <w:t>14</w:t>
    </w:r>
    <w:r>
      <w:rPr>
        <w:rStyle w:val="PageNumber"/>
      </w:rPr>
      <w:fldChar w:fldCharType="end"/>
    </w:r>
    <w:r w:rsidRPr="00EF0A2E">
      <w:rPr>
        <w:rStyle w:val="PageNumber"/>
      </w:rPr>
      <w:tab/>
    </w:r>
    <w:r>
      <w:rPr>
        <w:noProof/>
      </w:rPr>
      <w:t>ARRÊT</w:t>
    </w:r>
    <w:r w:rsidRPr="00EF0A2E">
      <w:t xml:space="preserve"> </w:t>
    </w:r>
    <w:r>
      <w:t>R.V. c. FRANCE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9D6" w:rsidRPr="0045067D" w:rsidRDefault="00AE19D6" w:rsidP="008D400B">
    <w:pPr>
      <w:pStyle w:val="ECHRHeader"/>
      <w:rPr>
        <w:lang w:val="fr-FR"/>
      </w:rPr>
    </w:pPr>
    <w:r w:rsidRPr="0045067D">
      <w:rPr>
        <w:lang w:val="fr-FR"/>
      </w:rPr>
      <w:tab/>
    </w:r>
    <w:r>
      <w:rPr>
        <w:noProof/>
      </w:rPr>
      <w:t>ARRÊT</w:t>
    </w:r>
    <w:r w:rsidRPr="00EF0A2E">
      <w:t xml:space="preserve"> </w:t>
    </w:r>
    <w:r>
      <w:t>R.V. c. FRANCE</w:t>
    </w:r>
    <w:r w:rsidRPr="00EF0A2E">
      <w:tab/>
    </w:r>
    <w:r>
      <w:rPr>
        <w:rStyle w:val="PageNumber"/>
        <w:lang w:val="fr-FR"/>
      </w:rPr>
      <w:fldChar w:fldCharType="begin"/>
    </w:r>
    <w:r>
      <w:rPr>
        <w:rStyle w:val="PageNumber"/>
        <w:lang w:val="fr-FR"/>
      </w:rPr>
      <w:instrText xml:space="preserve"> PAGE </w:instrText>
    </w:r>
    <w:r>
      <w:rPr>
        <w:rStyle w:val="PageNumber"/>
        <w:lang w:val="fr-FR"/>
      </w:rPr>
      <w:fldChar w:fldCharType="separate"/>
    </w:r>
    <w:r w:rsidR="0076213C">
      <w:rPr>
        <w:rStyle w:val="PageNumber"/>
        <w:noProof/>
        <w:lang w:val="fr-FR"/>
      </w:rPr>
      <w:t>1</w:t>
    </w:r>
    <w:r>
      <w:rPr>
        <w:rStyle w:val="PageNumber"/>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AA222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C189B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0C4301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7268F2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FA0A7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3829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8AD3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501D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E43E0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3AEA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8750E"/>
    <w:multiLevelType w:val="multilevel"/>
    <w:tmpl w:val="040C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58951FC"/>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1A2828E2"/>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1C1755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E559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D4244B"/>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7063F06"/>
    <w:multiLevelType w:val="multilevel"/>
    <w:tmpl w:val="040C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5D7306C"/>
    <w:multiLevelType w:val="multilevel"/>
    <w:tmpl w:val="040C0023"/>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8" w15:restartNumberingAfterBreak="0">
    <w:nsid w:val="72A56166"/>
    <w:multiLevelType w:val="multilevel"/>
    <w:tmpl w:val="0ACED8F0"/>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9"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16"/>
  </w:num>
  <w:num w:numId="23">
    <w:abstractNumId w:val="10"/>
  </w:num>
  <w:num w:numId="24">
    <w:abstractNumId w:val="17"/>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9"/>
  </w:num>
  <w:num w:numId="35">
    <w:abstractNumId w:val="15"/>
  </w:num>
  <w:num w:numId="36">
    <w:abstractNumId w:val="11"/>
  </w:num>
  <w:num w:numId="37">
    <w:abstractNumId w:val="18"/>
  </w:num>
  <w:num w:numId="38">
    <w:abstractNumId w:val="13"/>
  </w:num>
  <w:num w:numId="39">
    <w:abstractNumId w:val="14"/>
  </w:num>
  <w:num w:numId="4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1"/>
    <w:docVar w:name="DocVarPREMATURE" w:val="0"/>
    <w:docVar w:name="EMM" w:val="0"/>
    <w:docVar w:name="ETRANSMISSION" w:val="PAR VOIE ÉLECTRONIQUE UNIQUEMENT"/>
    <w:docVar w:name="L4_1Annex" w:val="0"/>
    <w:docVar w:name="L4_1Anonymity" w:val="1"/>
    <w:docVar w:name="L4_1AppNatList" w:val="espagnol"/>
    <w:docVar w:name="NBEMMDOC" w:val="0"/>
    <w:docVar w:name="SignForeName" w:val="0"/>
  </w:docVars>
  <w:rsids>
    <w:rsidRoot w:val="008D400B"/>
    <w:rsid w:val="000015F1"/>
    <w:rsid w:val="000041F8"/>
    <w:rsid w:val="000042A8"/>
    <w:rsid w:val="00004308"/>
    <w:rsid w:val="0000590D"/>
    <w:rsid w:val="00005BF0"/>
    <w:rsid w:val="00007154"/>
    <w:rsid w:val="000103AE"/>
    <w:rsid w:val="00011D69"/>
    <w:rsid w:val="00012AD3"/>
    <w:rsid w:val="00015C2D"/>
    <w:rsid w:val="00015F00"/>
    <w:rsid w:val="00016103"/>
    <w:rsid w:val="00022C1D"/>
    <w:rsid w:val="00024F70"/>
    <w:rsid w:val="00033F59"/>
    <w:rsid w:val="00034987"/>
    <w:rsid w:val="0003627B"/>
    <w:rsid w:val="000602DF"/>
    <w:rsid w:val="00061B05"/>
    <w:rsid w:val="000632D5"/>
    <w:rsid w:val="000644EE"/>
    <w:rsid w:val="00066A71"/>
    <w:rsid w:val="000925AD"/>
    <w:rsid w:val="000A24EB"/>
    <w:rsid w:val="000B21AC"/>
    <w:rsid w:val="000B6923"/>
    <w:rsid w:val="000C0C7A"/>
    <w:rsid w:val="000C4799"/>
    <w:rsid w:val="000C5F3C"/>
    <w:rsid w:val="000C6DCC"/>
    <w:rsid w:val="000D2176"/>
    <w:rsid w:val="000D47AA"/>
    <w:rsid w:val="000D721F"/>
    <w:rsid w:val="000E069B"/>
    <w:rsid w:val="000E0E82"/>
    <w:rsid w:val="000E1DC5"/>
    <w:rsid w:val="000E223F"/>
    <w:rsid w:val="000E6AD6"/>
    <w:rsid w:val="000E7D45"/>
    <w:rsid w:val="000F00EF"/>
    <w:rsid w:val="000F7851"/>
    <w:rsid w:val="00104E23"/>
    <w:rsid w:val="00111B0C"/>
    <w:rsid w:val="00120D6C"/>
    <w:rsid w:val="00121B46"/>
    <w:rsid w:val="001257EC"/>
    <w:rsid w:val="00133D33"/>
    <w:rsid w:val="00134D64"/>
    <w:rsid w:val="00135A30"/>
    <w:rsid w:val="0013612C"/>
    <w:rsid w:val="00137FF6"/>
    <w:rsid w:val="00141650"/>
    <w:rsid w:val="00150BFA"/>
    <w:rsid w:val="001516A3"/>
    <w:rsid w:val="0016174F"/>
    <w:rsid w:val="00162A12"/>
    <w:rsid w:val="00166530"/>
    <w:rsid w:val="001832BD"/>
    <w:rsid w:val="001839AF"/>
    <w:rsid w:val="001943B5"/>
    <w:rsid w:val="00195134"/>
    <w:rsid w:val="00196165"/>
    <w:rsid w:val="001A145B"/>
    <w:rsid w:val="001A674C"/>
    <w:rsid w:val="001B3B24"/>
    <w:rsid w:val="001C0F98"/>
    <w:rsid w:val="001C2A42"/>
    <w:rsid w:val="001C41FA"/>
    <w:rsid w:val="001D63ED"/>
    <w:rsid w:val="001D7348"/>
    <w:rsid w:val="001E035B"/>
    <w:rsid w:val="001E0961"/>
    <w:rsid w:val="001E3EAE"/>
    <w:rsid w:val="001E6F32"/>
    <w:rsid w:val="001F2145"/>
    <w:rsid w:val="001F4E43"/>
    <w:rsid w:val="001F6262"/>
    <w:rsid w:val="001F67B0"/>
    <w:rsid w:val="001F7B3D"/>
    <w:rsid w:val="00205F9F"/>
    <w:rsid w:val="0020718E"/>
    <w:rsid w:val="00210338"/>
    <w:rsid w:val="002115FC"/>
    <w:rsid w:val="002124E8"/>
    <w:rsid w:val="0021423C"/>
    <w:rsid w:val="00216D7C"/>
    <w:rsid w:val="00230D00"/>
    <w:rsid w:val="00231DF7"/>
    <w:rsid w:val="00231FD1"/>
    <w:rsid w:val="002339E0"/>
    <w:rsid w:val="00233CF8"/>
    <w:rsid w:val="0023575D"/>
    <w:rsid w:val="00237148"/>
    <w:rsid w:val="0024222D"/>
    <w:rsid w:val="00244B0E"/>
    <w:rsid w:val="00244F6C"/>
    <w:rsid w:val="002532C5"/>
    <w:rsid w:val="00260C03"/>
    <w:rsid w:val="0026540E"/>
    <w:rsid w:val="00275123"/>
    <w:rsid w:val="00282240"/>
    <w:rsid w:val="00291379"/>
    <w:rsid w:val="002948AD"/>
    <w:rsid w:val="002A01CC"/>
    <w:rsid w:val="002A61B1"/>
    <w:rsid w:val="002A663C"/>
    <w:rsid w:val="002B444B"/>
    <w:rsid w:val="002B5887"/>
    <w:rsid w:val="002C0E27"/>
    <w:rsid w:val="002C3040"/>
    <w:rsid w:val="002C510F"/>
    <w:rsid w:val="002D022D"/>
    <w:rsid w:val="002D23B6"/>
    <w:rsid w:val="002D24BB"/>
    <w:rsid w:val="002E02CB"/>
    <w:rsid w:val="002F2AF7"/>
    <w:rsid w:val="002F7E1C"/>
    <w:rsid w:val="00301A75"/>
    <w:rsid w:val="00302F70"/>
    <w:rsid w:val="0030336F"/>
    <w:rsid w:val="0030375E"/>
    <w:rsid w:val="00312A30"/>
    <w:rsid w:val="00320F72"/>
    <w:rsid w:val="0032463E"/>
    <w:rsid w:val="00326224"/>
    <w:rsid w:val="00326F93"/>
    <w:rsid w:val="00337EE4"/>
    <w:rsid w:val="00340FFD"/>
    <w:rsid w:val="00344453"/>
    <w:rsid w:val="003506B1"/>
    <w:rsid w:val="00354F8C"/>
    <w:rsid w:val="00356AC7"/>
    <w:rsid w:val="003609FA"/>
    <w:rsid w:val="00367CAE"/>
    <w:rsid w:val="003710C8"/>
    <w:rsid w:val="003750BE"/>
    <w:rsid w:val="0038651E"/>
    <w:rsid w:val="00387B9D"/>
    <w:rsid w:val="00390914"/>
    <w:rsid w:val="0039364F"/>
    <w:rsid w:val="00396686"/>
    <w:rsid w:val="0039778E"/>
    <w:rsid w:val="003B2814"/>
    <w:rsid w:val="003B4941"/>
    <w:rsid w:val="003B4B33"/>
    <w:rsid w:val="003C2D84"/>
    <w:rsid w:val="003C2F53"/>
    <w:rsid w:val="003C5714"/>
    <w:rsid w:val="003C6B9F"/>
    <w:rsid w:val="003C6E2A"/>
    <w:rsid w:val="003D0299"/>
    <w:rsid w:val="003E32DA"/>
    <w:rsid w:val="003E6D80"/>
    <w:rsid w:val="003E76AA"/>
    <w:rsid w:val="003F05FA"/>
    <w:rsid w:val="003F244A"/>
    <w:rsid w:val="003F30B8"/>
    <w:rsid w:val="003F3CE4"/>
    <w:rsid w:val="003F4C45"/>
    <w:rsid w:val="003F5F7B"/>
    <w:rsid w:val="003F7D64"/>
    <w:rsid w:val="00400ECE"/>
    <w:rsid w:val="004103E2"/>
    <w:rsid w:val="00414300"/>
    <w:rsid w:val="004147EA"/>
    <w:rsid w:val="00425C67"/>
    <w:rsid w:val="00427E7A"/>
    <w:rsid w:val="00434EC4"/>
    <w:rsid w:val="00436C49"/>
    <w:rsid w:val="00445366"/>
    <w:rsid w:val="00447F5B"/>
    <w:rsid w:val="0045067D"/>
    <w:rsid w:val="004614E6"/>
    <w:rsid w:val="00461DB0"/>
    <w:rsid w:val="00463926"/>
    <w:rsid w:val="00464C9A"/>
    <w:rsid w:val="004741F5"/>
    <w:rsid w:val="00474F3D"/>
    <w:rsid w:val="00477E3A"/>
    <w:rsid w:val="00483E5F"/>
    <w:rsid w:val="00485FF9"/>
    <w:rsid w:val="004907F0"/>
    <w:rsid w:val="0049140B"/>
    <w:rsid w:val="004923A5"/>
    <w:rsid w:val="00495572"/>
    <w:rsid w:val="00496BFB"/>
    <w:rsid w:val="00497F51"/>
    <w:rsid w:val="004A15C7"/>
    <w:rsid w:val="004B013B"/>
    <w:rsid w:val="004B112B"/>
    <w:rsid w:val="004B31C7"/>
    <w:rsid w:val="004B6E2F"/>
    <w:rsid w:val="004C01E4"/>
    <w:rsid w:val="004C086C"/>
    <w:rsid w:val="004C1F56"/>
    <w:rsid w:val="004C27BC"/>
    <w:rsid w:val="004D15F3"/>
    <w:rsid w:val="004D5311"/>
    <w:rsid w:val="004D5DCC"/>
    <w:rsid w:val="004F10AF"/>
    <w:rsid w:val="004F11A4"/>
    <w:rsid w:val="004F2389"/>
    <w:rsid w:val="004F2979"/>
    <w:rsid w:val="004F304D"/>
    <w:rsid w:val="004F61BE"/>
    <w:rsid w:val="004F66B1"/>
    <w:rsid w:val="00511C07"/>
    <w:rsid w:val="005173A6"/>
    <w:rsid w:val="00520BAA"/>
    <w:rsid w:val="00525208"/>
    <w:rsid w:val="005257A5"/>
    <w:rsid w:val="005264C0"/>
    <w:rsid w:val="00526A8A"/>
    <w:rsid w:val="00531DF2"/>
    <w:rsid w:val="005442EE"/>
    <w:rsid w:val="00547353"/>
    <w:rsid w:val="005474E7"/>
    <w:rsid w:val="005512A3"/>
    <w:rsid w:val="005578CE"/>
    <w:rsid w:val="00562781"/>
    <w:rsid w:val="0057271C"/>
    <w:rsid w:val="00572845"/>
    <w:rsid w:val="00574C83"/>
    <w:rsid w:val="00575134"/>
    <w:rsid w:val="00576B6F"/>
    <w:rsid w:val="00577062"/>
    <w:rsid w:val="00580642"/>
    <w:rsid w:val="00592772"/>
    <w:rsid w:val="00594605"/>
    <w:rsid w:val="0059574A"/>
    <w:rsid w:val="00596468"/>
    <w:rsid w:val="005A02CB"/>
    <w:rsid w:val="005A1B9B"/>
    <w:rsid w:val="005A6751"/>
    <w:rsid w:val="005B092E"/>
    <w:rsid w:val="005B152C"/>
    <w:rsid w:val="005B1EE0"/>
    <w:rsid w:val="005B2B24"/>
    <w:rsid w:val="005B4425"/>
    <w:rsid w:val="005B4B94"/>
    <w:rsid w:val="005C3EE8"/>
    <w:rsid w:val="005C50CD"/>
    <w:rsid w:val="005D34F9"/>
    <w:rsid w:val="005D4190"/>
    <w:rsid w:val="005D67A3"/>
    <w:rsid w:val="005E2988"/>
    <w:rsid w:val="005E3085"/>
    <w:rsid w:val="005E37C6"/>
    <w:rsid w:val="005F51E1"/>
    <w:rsid w:val="00611C80"/>
    <w:rsid w:val="00620692"/>
    <w:rsid w:val="006242CA"/>
    <w:rsid w:val="00624D58"/>
    <w:rsid w:val="00627507"/>
    <w:rsid w:val="00632AA1"/>
    <w:rsid w:val="00633717"/>
    <w:rsid w:val="006344E1"/>
    <w:rsid w:val="0064194C"/>
    <w:rsid w:val="0065298D"/>
    <w:rsid w:val="006545C4"/>
    <w:rsid w:val="00661971"/>
    <w:rsid w:val="00661CE8"/>
    <w:rsid w:val="006623D9"/>
    <w:rsid w:val="0066550C"/>
    <w:rsid w:val="00667B26"/>
    <w:rsid w:val="006716F2"/>
    <w:rsid w:val="00674263"/>
    <w:rsid w:val="00682BF2"/>
    <w:rsid w:val="006859CE"/>
    <w:rsid w:val="00690EC8"/>
    <w:rsid w:val="00691270"/>
    <w:rsid w:val="00694A2E"/>
    <w:rsid w:val="00694BA8"/>
    <w:rsid w:val="00697080"/>
    <w:rsid w:val="006A037C"/>
    <w:rsid w:val="006A2CF9"/>
    <w:rsid w:val="006A36F4"/>
    <w:rsid w:val="006A406F"/>
    <w:rsid w:val="006A5D3A"/>
    <w:rsid w:val="006C1BCB"/>
    <w:rsid w:val="006C23D4"/>
    <w:rsid w:val="006C3AA2"/>
    <w:rsid w:val="006C64BE"/>
    <w:rsid w:val="006C7BB0"/>
    <w:rsid w:val="006D3237"/>
    <w:rsid w:val="006E2E37"/>
    <w:rsid w:val="006E3CF1"/>
    <w:rsid w:val="006E7E80"/>
    <w:rsid w:val="006F48CA"/>
    <w:rsid w:val="006F63F9"/>
    <w:rsid w:val="006F64DD"/>
    <w:rsid w:val="00707C2B"/>
    <w:rsid w:val="00711B9F"/>
    <w:rsid w:val="00715127"/>
    <w:rsid w:val="00715E8E"/>
    <w:rsid w:val="00721EDE"/>
    <w:rsid w:val="00723580"/>
    <w:rsid w:val="00723755"/>
    <w:rsid w:val="0073136C"/>
    <w:rsid w:val="00731F0F"/>
    <w:rsid w:val="00733250"/>
    <w:rsid w:val="00741404"/>
    <w:rsid w:val="007449E5"/>
    <w:rsid w:val="00747FF0"/>
    <w:rsid w:val="0076213C"/>
    <w:rsid w:val="00764D4E"/>
    <w:rsid w:val="00765A1F"/>
    <w:rsid w:val="0077034C"/>
    <w:rsid w:val="00775B6D"/>
    <w:rsid w:val="00776D68"/>
    <w:rsid w:val="0078258D"/>
    <w:rsid w:val="007850EE"/>
    <w:rsid w:val="00785B95"/>
    <w:rsid w:val="007867F1"/>
    <w:rsid w:val="00790E96"/>
    <w:rsid w:val="00793366"/>
    <w:rsid w:val="007952DA"/>
    <w:rsid w:val="007A716F"/>
    <w:rsid w:val="007B013C"/>
    <w:rsid w:val="007B1BC1"/>
    <w:rsid w:val="007B270A"/>
    <w:rsid w:val="007B30DC"/>
    <w:rsid w:val="007B4B56"/>
    <w:rsid w:val="007C028B"/>
    <w:rsid w:val="007C0695"/>
    <w:rsid w:val="007C419A"/>
    <w:rsid w:val="007C4CC8"/>
    <w:rsid w:val="007C5426"/>
    <w:rsid w:val="007C5798"/>
    <w:rsid w:val="007D4832"/>
    <w:rsid w:val="007E21B2"/>
    <w:rsid w:val="007E2C4E"/>
    <w:rsid w:val="007E3ED4"/>
    <w:rsid w:val="007E48C2"/>
    <w:rsid w:val="007E7C75"/>
    <w:rsid w:val="007F1905"/>
    <w:rsid w:val="007F7C37"/>
    <w:rsid w:val="00801300"/>
    <w:rsid w:val="00802C64"/>
    <w:rsid w:val="00805E52"/>
    <w:rsid w:val="008061D0"/>
    <w:rsid w:val="00810B38"/>
    <w:rsid w:val="008204C7"/>
    <w:rsid w:val="00820992"/>
    <w:rsid w:val="00820D37"/>
    <w:rsid w:val="00823602"/>
    <w:rsid w:val="008255F5"/>
    <w:rsid w:val="0083014E"/>
    <w:rsid w:val="0083214A"/>
    <w:rsid w:val="00834220"/>
    <w:rsid w:val="00841320"/>
    <w:rsid w:val="0084351A"/>
    <w:rsid w:val="00845723"/>
    <w:rsid w:val="00851EF9"/>
    <w:rsid w:val="00855315"/>
    <w:rsid w:val="008577FD"/>
    <w:rsid w:val="00860B03"/>
    <w:rsid w:val="0086457D"/>
    <w:rsid w:val="0086497A"/>
    <w:rsid w:val="00864B5D"/>
    <w:rsid w:val="008705A5"/>
    <w:rsid w:val="008713A1"/>
    <w:rsid w:val="008754AB"/>
    <w:rsid w:val="00875AB3"/>
    <w:rsid w:val="0088060C"/>
    <w:rsid w:val="008876D4"/>
    <w:rsid w:val="00891841"/>
    <w:rsid w:val="00893576"/>
    <w:rsid w:val="00893E73"/>
    <w:rsid w:val="00895C9C"/>
    <w:rsid w:val="008B02DC"/>
    <w:rsid w:val="008B57CE"/>
    <w:rsid w:val="008C26DE"/>
    <w:rsid w:val="008D2225"/>
    <w:rsid w:val="008D400B"/>
    <w:rsid w:val="008D4752"/>
    <w:rsid w:val="008D7298"/>
    <w:rsid w:val="008E271C"/>
    <w:rsid w:val="008E2A5E"/>
    <w:rsid w:val="008E418E"/>
    <w:rsid w:val="008E5BC6"/>
    <w:rsid w:val="008E6A25"/>
    <w:rsid w:val="008F5193"/>
    <w:rsid w:val="009013A7"/>
    <w:rsid w:val="009017FB"/>
    <w:rsid w:val="009017FC"/>
    <w:rsid w:val="0090506B"/>
    <w:rsid w:val="009050C9"/>
    <w:rsid w:val="009066FC"/>
    <w:rsid w:val="009140A3"/>
    <w:rsid w:val="009144A2"/>
    <w:rsid w:val="0091510C"/>
    <w:rsid w:val="009259AC"/>
    <w:rsid w:val="00926AD5"/>
    <w:rsid w:val="00926F38"/>
    <w:rsid w:val="0093019F"/>
    <w:rsid w:val="00934301"/>
    <w:rsid w:val="00936C2D"/>
    <w:rsid w:val="00936CD1"/>
    <w:rsid w:val="00937330"/>
    <w:rsid w:val="00941747"/>
    <w:rsid w:val="00941EFB"/>
    <w:rsid w:val="00946825"/>
    <w:rsid w:val="00947AFB"/>
    <w:rsid w:val="00951D7D"/>
    <w:rsid w:val="009630C7"/>
    <w:rsid w:val="00972B55"/>
    <w:rsid w:val="0097336D"/>
    <w:rsid w:val="009743B7"/>
    <w:rsid w:val="0098228B"/>
    <w:rsid w:val="009828DA"/>
    <w:rsid w:val="00985BAB"/>
    <w:rsid w:val="00985F71"/>
    <w:rsid w:val="0099104B"/>
    <w:rsid w:val="009B1B5F"/>
    <w:rsid w:val="009B4F3B"/>
    <w:rsid w:val="009B6673"/>
    <w:rsid w:val="009C191B"/>
    <w:rsid w:val="009C2BD6"/>
    <w:rsid w:val="009C6842"/>
    <w:rsid w:val="009E1F32"/>
    <w:rsid w:val="009E776C"/>
    <w:rsid w:val="00A00144"/>
    <w:rsid w:val="00A1726E"/>
    <w:rsid w:val="00A204CF"/>
    <w:rsid w:val="00A23D49"/>
    <w:rsid w:val="00A27004"/>
    <w:rsid w:val="00A30C29"/>
    <w:rsid w:val="00A34DD6"/>
    <w:rsid w:val="00A36819"/>
    <w:rsid w:val="00A36989"/>
    <w:rsid w:val="00A43308"/>
    <w:rsid w:val="00A43628"/>
    <w:rsid w:val="00A43A20"/>
    <w:rsid w:val="00A44801"/>
    <w:rsid w:val="00A45145"/>
    <w:rsid w:val="00A51CB8"/>
    <w:rsid w:val="00A54192"/>
    <w:rsid w:val="00A56CCB"/>
    <w:rsid w:val="00A6035E"/>
    <w:rsid w:val="00A6144C"/>
    <w:rsid w:val="00A650DD"/>
    <w:rsid w:val="00A66617"/>
    <w:rsid w:val="00A671F8"/>
    <w:rsid w:val="00A673A4"/>
    <w:rsid w:val="00A67531"/>
    <w:rsid w:val="00A724AE"/>
    <w:rsid w:val="00A72912"/>
    <w:rsid w:val="00A73329"/>
    <w:rsid w:val="00A74BC1"/>
    <w:rsid w:val="00A82359"/>
    <w:rsid w:val="00A865D2"/>
    <w:rsid w:val="00A94C20"/>
    <w:rsid w:val="00AA227F"/>
    <w:rsid w:val="00AA3BC7"/>
    <w:rsid w:val="00AA754A"/>
    <w:rsid w:val="00AB099E"/>
    <w:rsid w:val="00AB4328"/>
    <w:rsid w:val="00AC0824"/>
    <w:rsid w:val="00AC4EBF"/>
    <w:rsid w:val="00AD412E"/>
    <w:rsid w:val="00AE0A2E"/>
    <w:rsid w:val="00AE19D6"/>
    <w:rsid w:val="00AE354C"/>
    <w:rsid w:val="00AF4B07"/>
    <w:rsid w:val="00AF5CC8"/>
    <w:rsid w:val="00AF6186"/>
    <w:rsid w:val="00AF7A3A"/>
    <w:rsid w:val="00B03BCD"/>
    <w:rsid w:val="00B160DB"/>
    <w:rsid w:val="00B20836"/>
    <w:rsid w:val="00B235BB"/>
    <w:rsid w:val="00B27A44"/>
    <w:rsid w:val="00B27DFF"/>
    <w:rsid w:val="00B30BBF"/>
    <w:rsid w:val="00B33C03"/>
    <w:rsid w:val="00B44E56"/>
    <w:rsid w:val="00B46543"/>
    <w:rsid w:val="00B47D33"/>
    <w:rsid w:val="00B52BE0"/>
    <w:rsid w:val="00B54133"/>
    <w:rsid w:val="00B6379C"/>
    <w:rsid w:val="00B701ED"/>
    <w:rsid w:val="00B7261C"/>
    <w:rsid w:val="00B8086C"/>
    <w:rsid w:val="00B861B4"/>
    <w:rsid w:val="00B86DFE"/>
    <w:rsid w:val="00B90990"/>
    <w:rsid w:val="00B922FF"/>
    <w:rsid w:val="00B9281E"/>
    <w:rsid w:val="00B93925"/>
    <w:rsid w:val="00B93ECF"/>
    <w:rsid w:val="00B95187"/>
    <w:rsid w:val="00B9776F"/>
    <w:rsid w:val="00BA2D55"/>
    <w:rsid w:val="00BA2D5A"/>
    <w:rsid w:val="00BA71B1"/>
    <w:rsid w:val="00BB0637"/>
    <w:rsid w:val="00BB345F"/>
    <w:rsid w:val="00BB68EA"/>
    <w:rsid w:val="00BC1C27"/>
    <w:rsid w:val="00BC4A8F"/>
    <w:rsid w:val="00BC6BBF"/>
    <w:rsid w:val="00BD1572"/>
    <w:rsid w:val="00BE14E3"/>
    <w:rsid w:val="00BE3774"/>
    <w:rsid w:val="00BE41E5"/>
    <w:rsid w:val="00BE7537"/>
    <w:rsid w:val="00BF4109"/>
    <w:rsid w:val="00BF4CC3"/>
    <w:rsid w:val="00C054C7"/>
    <w:rsid w:val="00C057B5"/>
    <w:rsid w:val="00C06E15"/>
    <w:rsid w:val="00C1262B"/>
    <w:rsid w:val="00C22687"/>
    <w:rsid w:val="00C32E4D"/>
    <w:rsid w:val="00C333A0"/>
    <w:rsid w:val="00C36408"/>
    <w:rsid w:val="00C36A81"/>
    <w:rsid w:val="00C41974"/>
    <w:rsid w:val="00C51F50"/>
    <w:rsid w:val="00C53F4A"/>
    <w:rsid w:val="00C54125"/>
    <w:rsid w:val="00C55B54"/>
    <w:rsid w:val="00C6098E"/>
    <w:rsid w:val="00C611D8"/>
    <w:rsid w:val="00C6152C"/>
    <w:rsid w:val="00C63297"/>
    <w:rsid w:val="00C63990"/>
    <w:rsid w:val="00C64EF6"/>
    <w:rsid w:val="00C65050"/>
    <w:rsid w:val="00C67304"/>
    <w:rsid w:val="00C67BD6"/>
    <w:rsid w:val="00C74810"/>
    <w:rsid w:val="00C90D68"/>
    <w:rsid w:val="00C939FE"/>
    <w:rsid w:val="00CA4BDA"/>
    <w:rsid w:val="00CB1F66"/>
    <w:rsid w:val="00CB2951"/>
    <w:rsid w:val="00CC3FE5"/>
    <w:rsid w:val="00CC6FA0"/>
    <w:rsid w:val="00CC71E6"/>
    <w:rsid w:val="00CD282B"/>
    <w:rsid w:val="00CD4C35"/>
    <w:rsid w:val="00CD5BEE"/>
    <w:rsid w:val="00CD7369"/>
    <w:rsid w:val="00CE0B0E"/>
    <w:rsid w:val="00CE3831"/>
    <w:rsid w:val="00D00ABB"/>
    <w:rsid w:val="00D02EEC"/>
    <w:rsid w:val="00D03551"/>
    <w:rsid w:val="00D06A63"/>
    <w:rsid w:val="00D07E0E"/>
    <w:rsid w:val="00D11478"/>
    <w:rsid w:val="00D11E14"/>
    <w:rsid w:val="00D15ED0"/>
    <w:rsid w:val="00D21B3E"/>
    <w:rsid w:val="00D21FED"/>
    <w:rsid w:val="00D24251"/>
    <w:rsid w:val="00D250D7"/>
    <w:rsid w:val="00D343E2"/>
    <w:rsid w:val="00D361A2"/>
    <w:rsid w:val="00D37C1F"/>
    <w:rsid w:val="00D42AFF"/>
    <w:rsid w:val="00D44C2E"/>
    <w:rsid w:val="00D45414"/>
    <w:rsid w:val="00D566BD"/>
    <w:rsid w:val="00D576CF"/>
    <w:rsid w:val="00D57A4D"/>
    <w:rsid w:val="00D60AA7"/>
    <w:rsid w:val="00D6435F"/>
    <w:rsid w:val="00D75E28"/>
    <w:rsid w:val="00D772C2"/>
    <w:rsid w:val="00D8008E"/>
    <w:rsid w:val="00D82C45"/>
    <w:rsid w:val="00D908A8"/>
    <w:rsid w:val="00D977B6"/>
    <w:rsid w:val="00DA4A31"/>
    <w:rsid w:val="00DA5CDC"/>
    <w:rsid w:val="00DA702E"/>
    <w:rsid w:val="00DA7B04"/>
    <w:rsid w:val="00DB20D4"/>
    <w:rsid w:val="00DB25FF"/>
    <w:rsid w:val="00DB36C2"/>
    <w:rsid w:val="00DC169B"/>
    <w:rsid w:val="00DC2AB9"/>
    <w:rsid w:val="00DC63F0"/>
    <w:rsid w:val="00DD4AAB"/>
    <w:rsid w:val="00DD5146"/>
    <w:rsid w:val="00DD6EE5"/>
    <w:rsid w:val="00DE2C10"/>
    <w:rsid w:val="00DE386C"/>
    <w:rsid w:val="00DE4D35"/>
    <w:rsid w:val="00DE73EC"/>
    <w:rsid w:val="00DF098B"/>
    <w:rsid w:val="00DF11C4"/>
    <w:rsid w:val="00DF210C"/>
    <w:rsid w:val="00DF4B6A"/>
    <w:rsid w:val="00E01E65"/>
    <w:rsid w:val="00E02C09"/>
    <w:rsid w:val="00E04487"/>
    <w:rsid w:val="00E04D59"/>
    <w:rsid w:val="00E07DA1"/>
    <w:rsid w:val="00E1113F"/>
    <w:rsid w:val="00E123CB"/>
    <w:rsid w:val="00E13E2B"/>
    <w:rsid w:val="00E20E13"/>
    <w:rsid w:val="00E21DBC"/>
    <w:rsid w:val="00E275D7"/>
    <w:rsid w:val="00E27DBE"/>
    <w:rsid w:val="00E32AB1"/>
    <w:rsid w:val="00E36C71"/>
    <w:rsid w:val="00E40404"/>
    <w:rsid w:val="00E40595"/>
    <w:rsid w:val="00E4155E"/>
    <w:rsid w:val="00E4529A"/>
    <w:rsid w:val="00E459C6"/>
    <w:rsid w:val="00E47589"/>
    <w:rsid w:val="00E47690"/>
    <w:rsid w:val="00E64915"/>
    <w:rsid w:val="00E661D4"/>
    <w:rsid w:val="00E70091"/>
    <w:rsid w:val="00E720F5"/>
    <w:rsid w:val="00E76D47"/>
    <w:rsid w:val="00E77CB3"/>
    <w:rsid w:val="00E849F7"/>
    <w:rsid w:val="00E87441"/>
    <w:rsid w:val="00E90302"/>
    <w:rsid w:val="00E97396"/>
    <w:rsid w:val="00E97DF8"/>
    <w:rsid w:val="00EA185E"/>
    <w:rsid w:val="00EA592A"/>
    <w:rsid w:val="00EB06CB"/>
    <w:rsid w:val="00EB14E4"/>
    <w:rsid w:val="00EB32A5"/>
    <w:rsid w:val="00EB34ED"/>
    <w:rsid w:val="00EB7BE0"/>
    <w:rsid w:val="00EB7E63"/>
    <w:rsid w:val="00EC2A52"/>
    <w:rsid w:val="00EC315E"/>
    <w:rsid w:val="00EC494D"/>
    <w:rsid w:val="00ED077C"/>
    <w:rsid w:val="00ED1190"/>
    <w:rsid w:val="00ED1210"/>
    <w:rsid w:val="00ED4895"/>
    <w:rsid w:val="00ED6544"/>
    <w:rsid w:val="00EE0277"/>
    <w:rsid w:val="00EE3E00"/>
    <w:rsid w:val="00EE5DD2"/>
    <w:rsid w:val="00EF0A2E"/>
    <w:rsid w:val="00EF22E6"/>
    <w:rsid w:val="00EF2405"/>
    <w:rsid w:val="00EF63C2"/>
    <w:rsid w:val="00F00A79"/>
    <w:rsid w:val="00F00E86"/>
    <w:rsid w:val="00F07C1E"/>
    <w:rsid w:val="00F105DB"/>
    <w:rsid w:val="00F132BC"/>
    <w:rsid w:val="00F13D80"/>
    <w:rsid w:val="00F16AAA"/>
    <w:rsid w:val="00F21161"/>
    <w:rsid w:val="00F218EF"/>
    <w:rsid w:val="00F21BC7"/>
    <w:rsid w:val="00F266A2"/>
    <w:rsid w:val="00F32269"/>
    <w:rsid w:val="00F451D8"/>
    <w:rsid w:val="00F50857"/>
    <w:rsid w:val="00F51101"/>
    <w:rsid w:val="00F53999"/>
    <w:rsid w:val="00F56A6F"/>
    <w:rsid w:val="00F5709C"/>
    <w:rsid w:val="00F64EF1"/>
    <w:rsid w:val="00F65F43"/>
    <w:rsid w:val="00F8765F"/>
    <w:rsid w:val="00F90767"/>
    <w:rsid w:val="00F944DD"/>
    <w:rsid w:val="00F945AB"/>
    <w:rsid w:val="00FA685B"/>
    <w:rsid w:val="00FB0C01"/>
    <w:rsid w:val="00FB2B45"/>
    <w:rsid w:val="00FC18F2"/>
    <w:rsid w:val="00FC39E5"/>
    <w:rsid w:val="00FC3A78"/>
    <w:rsid w:val="00FC55E7"/>
    <w:rsid w:val="00FD1005"/>
    <w:rsid w:val="00FD6C75"/>
    <w:rsid w:val="00FE259F"/>
    <w:rsid w:val="00FE71B3"/>
    <w:rsid w:val="00FF0B4A"/>
    <w:rsid w:val="00FF245F"/>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57" w:unhideWhenUsed="1"/>
    <w:lsdException w:name="footer" w:semiHidden="1" w:uiPriority="57" w:unhideWhenUsed="1"/>
    <w:lsdException w:name="caption" w:semiHidden="1" w:unhideWhenUsed="1" w:qFormat="1"/>
    <w:lsdException w:name="List Number" w:semiHidden="1"/>
    <w:lsdException w:name="List 4" w:semiHidden="1"/>
    <w:lsdException w:name="List 5" w:semiHidden="1"/>
    <w:lsdException w:name="Title" w:qFormat="1"/>
    <w:lsdException w:name="Default Paragraph Font" w:semiHidden="1" w:uiPriority="1" w:unhideWhenUsed="1"/>
    <w:lsdException w:name="Subtitle" w:semiHidden="1" w:qFormat="1"/>
    <w:lsdException w:name="Salutation" w:semiHidden="1"/>
    <w:lsdException w:name="Date" w:semiHidden="1"/>
    <w:lsdException w:name="Body Text First Indent" w:semiHidden="1"/>
    <w:lsdException w:name="Strong" w:qFormat="1"/>
    <w:lsdException w:name="Emphasis" w:qFormat="1"/>
    <w:lsdException w:name="Table Grid" w:uiPriority="59"/>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5C50CD"/>
    <w:pPr>
      <w:jc w:val="both"/>
    </w:pPr>
    <w:rPr>
      <w:rFonts w:eastAsiaTheme="minorEastAsia" w:cs="Times New Roman"/>
      <w:sz w:val="24"/>
    </w:rPr>
  </w:style>
  <w:style w:type="paragraph" w:styleId="Heading1">
    <w:name w:val="heading 1"/>
    <w:basedOn w:val="Normal"/>
    <w:next w:val="Normal"/>
    <w:link w:val="Heading1Char"/>
    <w:uiPriority w:val="99"/>
    <w:semiHidden/>
    <w:rsid w:val="005C50CD"/>
    <w:pPr>
      <w:numPr>
        <w:numId w:val="40"/>
      </w:numPr>
      <w:spacing w:before="480"/>
      <w:contextualSpacing/>
      <w:outlineLvl w:val="0"/>
    </w:pPr>
    <w:rPr>
      <w:rFonts w:asciiTheme="majorHAnsi" w:eastAsiaTheme="majorEastAsia" w:hAnsiTheme="majorHAnsi"/>
      <w:b/>
      <w:bCs/>
      <w:color w:val="333333"/>
      <w:sz w:val="28"/>
      <w:szCs w:val="28"/>
    </w:rPr>
  </w:style>
  <w:style w:type="paragraph" w:styleId="Heading2">
    <w:name w:val="heading 2"/>
    <w:basedOn w:val="Normal"/>
    <w:next w:val="Normal"/>
    <w:link w:val="Heading2Char"/>
    <w:uiPriority w:val="99"/>
    <w:semiHidden/>
    <w:rsid w:val="005C50CD"/>
    <w:pPr>
      <w:numPr>
        <w:ilvl w:val="1"/>
        <w:numId w:val="40"/>
      </w:numPr>
      <w:spacing w:before="200"/>
      <w:outlineLvl w:val="1"/>
    </w:pPr>
    <w:rPr>
      <w:rFonts w:asciiTheme="majorHAnsi" w:eastAsiaTheme="majorEastAsia" w:hAnsiTheme="majorHAnsi"/>
      <w:b/>
      <w:bCs/>
      <w:color w:val="4D4D4D"/>
      <w:sz w:val="26"/>
      <w:szCs w:val="26"/>
    </w:rPr>
  </w:style>
  <w:style w:type="paragraph" w:styleId="Heading3">
    <w:name w:val="heading 3"/>
    <w:basedOn w:val="Normal"/>
    <w:next w:val="Normal"/>
    <w:link w:val="Heading3Char"/>
    <w:uiPriority w:val="99"/>
    <w:semiHidden/>
    <w:rsid w:val="005C50CD"/>
    <w:pPr>
      <w:numPr>
        <w:ilvl w:val="2"/>
        <w:numId w:val="40"/>
      </w:numPr>
      <w:spacing w:before="200" w:line="271" w:lineRule="auto"/>
      <w:outlineLvl w:val="2"/>
    </w:pPr>
    <w:rPr>
      <w:rFonts w:asciiTheme="majorHAnsi" w:eastAsiaTheme="majorEastAsia" w:hAnsiTheme="majorHAnsi"/>
      <w:b/>
      <w:bCs/>
      <w:color w:val="5F5F5F"/>
    </w:rPr>
  </w:style>
  <w:style w:type="paragraph" w:styleId="Heading4">
    <w:name w:val="heading 4"/>
    <w:basedOn w:val="Normal"/>
    <w:next w:val="Normal"/>
    <w:link w:val="Heading4Char"/>
    <w:uiPriority w:val="99"/>
    <w:semiHidden/>
    <w:rsid w:val="005C50CD"/>
    <w:pPr>
      <w:numPr>
        <w:ilvl w:val="3"/>
        <w:numId w:val="40"/>
      </w:numPr>
      <w:spacing w:before="200"/>
      <w:outlineLvl w:val="3"/>
    </w:pPr>
    <w:rPr>
      <w:rFonts w:asciiTheme="majorHAnsi" w:eastAsiaTheme="majorEastAsia" w:hAnsiTheme="majorHAnsi"/>
      <w:b/>
      <w:bCs/>
      <w:i/>
      <w:iCs/>
      <w:color w:val="777777"/>
    </w:rPr>
  </w:style>
  <w:style w:type="paragraph" w:styleId="Heading5">
    <w:name w:val="heading 5"/>
    <w:basedOn w:val="Normal"/>
    <w:next w:val="Normal"/>
    <w:link w:val="Heading5Char"/>
    <w:uiPriority w:val="99"/>
    <w:semiHidden/>
    <w:qFormat/>
    <w:rsid w:val="005C50CD"/>
    <w:pPr>
      <w:numPr>
        <w:ilvl w:val="4"/>
        <w:numId w:val="40"/>
      </w:numPr>
      <w:spacing w:before="200"/>
      <w:outlineLvl w:val="4"/>
    </w:pPr>
    <w:rPr>
      <w:rFonts w:asciiTheme="majorHAnsi" w:eastAsiaTheme="majorEastAsia" w:hAnsiTheme="majorHAnsi"/>
      <w:b/>
      <w:bCs/>
      <w:color w:val="808080"/>
    </w:rPr>
  </w:style>
  <w:style w:type="paragraph" w:styleId="Heading6">
    <w:name w:val="heading 6"/>
    <w:basedOn w:val="Normal"/>
    <w:next w:val="Normal"/>
    <w:link w:val="Heading6Char"/>
    <w:uiPriority w:val="99"/>
    <w:semiHidden/>
    <w:rsid w:val="005C50CD"/>
    <w:pPr>
      <w:numPr>
        <w:ilvl w:val="5"/>
        <w:numId w:val="40"/>
      </w:numPr>
      <w:spacing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9"/>
    <w:semiHidden/>
    <w:qFormat/>
    <w:rsid w:val="005C50CD"/>
    <w:pPr>
      <w:numPr>
        <w:ilvl w:val="6"/>
        <w:numId w:val="40"/>
      </w:numPr>
      <w:outlineLvl w:val="6"/>
    </w:pPr>
    <w:rPr>
      <w:rFonts w:asciiTheme="majorHAnsi" w:eastAsiaTheme="majorEastAsia" w:hAnsiTheme="majorHAnsi"/>
      <w:i/>
      <w:iCs/>
    </w:rPr>
  </w:style>
  <w:style w:type="paragraph" w:styleId="Heading8">
    <w:name w:val="heading 8"/>
    <w:basedOn w:val="Normal"/>
    <w:next w:val="Normal"/>
    <w:link w:val="Heading8Char"/>
    <w:uiPriority w:val="99"/>
    <w:semiHidden/>
    <w:qFormat/>
    <w:rsid w:val="005C50CD"/>
    <w:pPr>
      <w:numPr>
        <w:ilvl w:val="7"/>
        <w:numId w:val="40"/>
      </w:numPr>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9"/>
    <w:semiHidden/>
    <w:qFormat/>
    <w:rsid w:val="005C50CD"/>
    <w:pPr>
      <w:numPr>
        <w:ilvl w:val="8"/>
        <w:numId w:val="40"/>
      </w:numPr>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5C50CD"/>
    <w:rPr>
      <w:rFonts w:asciiTheme="majorHAnsi" w:eastAsiaTheme="majorEastAsia" w:hAnsiTheme="majorHAnsi" w:cs="Times New Roman"/>
      <w:b/>
      <w:bCs/>
      <w:color w:val="333333"/>
      <w:sz w:val="28"/>
      <w:szCs w:val="28"/>
    </w:rPr>
  </w:style>
  <w:style w:type="character" w:customStyle="1" w:styleId="Heading2Char">
    <w:name w:val="Heading 2 Char"/>
    <w:basedOn w:val="DefaultParagraphFont"/>
    <w:link w:val="Heading2"/>
    <w:uiPriority w:val="99"/>
    <w:semiHidden/>
    <w:locked/>
    <w:rsid w:val="005C50CD"/>
    <w:rPr>
      <w:rFonts w:asciiTheme="majorHAnsi" w:eastAsiaTheme="majorEastAsia" w:hAnsiTheme="majorHAnsi" w:cs="Times New Roman"/>
      <w:b/>
      <w:bCs/>
      <w:color w:val="4D4D4D"/>
      <w:sz w:val="26"/>
      <w:szCs w:val="26"/>
    </w:rPr>
  </w:style>
  <w:style w:type="character" w:customStyle="1" w:styleId="Heading3Char">
    <w:name w:val="Heading 3 Char"/>
    <w:basedOn w:val="DefaultParagraphFont"/>
    <w:link w:val="Heading3"/>
    <w:uiPriority w:val="99"/>
    <w:semiHidden/>
    <w:locked/>
    <w:rsid w:val="005C50CD"/>
    <w:rPr>
      <w:rFonts w:asciiTheme="majorHAnsi" w:eastAsiaTheme="majorEastAsia" w:hAnsiTheme="majorHAnsi" w:cs="Times New Roman"/>
      <w:b/>
      <w:bCs/>
      <w:color w:val="5F5F5F"/>
      <w:sz w:val="24"/>
    </w:rPr>
  </w:style>
  <w:style w:type="character" w:customStyle="1" w:styleId="Heading4Char">
    <w:name w:val="Heading 4 Char"/>
    <w:basedOn w:val="DefaultParagraphFont"/>
    <w:link w:val="Heading4"/>
    <w:uiPriority w:val="99"/>
    <w:semiHidden/>
    <w:locked/>
    <w:rsid w:val="005C50CD"/>
    <w:rPr>
      <w:rFonts w:asciiTheme="majorHAnsi" w:eastAsiaTheme="majorEastAsia" w:hAnsiTheme="majorHAnsi" w:cs="Times New Roman"/>
      <w:b/>
      <w:bCs/>
      <w:i/>
      <w:iCs/>
      <w:color w:val="777777"/>
      <w:sz w:val="24"/>
    </w:rPr>
  </w:style>
  <w:style w:type="character" w:customStyle="1" w:styleId="Heading5Char">
    <w:name w:val="Heading 5 Char"/>
    <w:basedOn w:val="DefaultParagraphFont"/>
    <w:link w:val="Heading5"/>
    <w:uiPriority w:val="99"/>
    <w:semiHidden/>
    <w:locked/>
    <w:rsid w:val="005C50CD"/>
    <w:rPr>
      <w:rFonts w:asciiTheme="majorHAnsi" w:eastAsiaTheme="majorEastAsia" w:hAnsiTheme="majorHAnsi" w:cs="Times New Roman"/>
      <w:b/>
      <w:bCs/>
      <w:color w:val="808080"/>
      <w:sz w:val="24"/>
    </w:rPr>
  </w:style>
  <w:style w:type="character" w:customStyle="1" w:styleId="Heading6Char">
    <w:name w:val="Heading 6 Char"/>
    <w:basedOn w:val="DefaultParagraphFont"/>
    <w:link w:val="Heading6"/>
    <w:uiPriority w:val="99"/>
    <w:semiHidden/>
    <w:locked/>
    <w:rsid w:val="005C50CD"/>
    <w:rPr>
      <w:rFonts w:asciiTheme="majorHAnsi" w:eastAsiaTheme="majorEastAsia" w:hAnsiTheme="majorHAnsi" w:cs="Times New Roman"/>
      <w:b/>
      <w:bCs/>
      <w:i/>
      <w:iCs/>
      <w:color w:val="7F7F7F" w:themeColor="text1" w:themeTint="80"/>
      <w:sz w:val="24"/>
    </w:rPr>
  </w:style>
  <w:style w:type="character" w:customStyle="1" w:styleId="Heading7Char">
    <w:name w:val="Heading 7 Char"/>
    <w:basedOn w:val="DefaultParagraphFont"/>
    <w:link w:val="Heading7"/>
    <w:uiPriority w:val="99"/>
    <w:semiHidden/>
    <w:locked/>
    <w:rsid w:val="005C50CD"/>
    <w:rPr>
      <w:rFonts w:asciiTheme="majorHAnsi" w:eastAsiaTheme="majorEastAsia" w:hAnsiTheme="majorHAnsi" w:cs="Times New Roman"/>
      <w:i/>
      <w:iCs/>
      <w:sz w:val="24"/>
    </w:rPr>
  </w:style>
  <w:style w:type="character" w:customStyle="1" w:styleId="Heading8Char">
    <w:name w:val="Heading 8 Char"/>
    <w:basedOn w:val="DefaultParagraphFont"/>
    <w:link w:val="Heading8"/>
    <w:uiPriority w:val="99"/>
    <w:semiHidden/>
    <w:locked/>
    <w:rsid w:val="005C50CD"/>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9"/>
    <w:semiHidden/>
    <w:locked/>
    <w:rsid w:val="005C50CD"/>
    <w:rPr>
      <w:rFonts w:asciiTheme="majorHAnsi" w:eastAsiaTheme="majorEastAsia" w:hAnsiTheme="majorHAnsi" w:cs="Times New Roman"/>
      <w:i/>
      <w:iCs/>
      <w:spacing w:val="5"/>
      <w:sz w:val="20"/>
      <w:szCs w:val="20"/>
    </w:rPr>
  </w:style>
  <w:style w:type="paragraph" w:styleId="BalloonText">
    <w:name w:val="Balloon Text"/>
    <w:basedOn w:val="Normal"/>
    <w:link w:val="BalloonTextChar"/>
    <w:uiPriority w:val="99"/>
    <w:semiHidden/>
    <w:rsid w:val="005C50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50CD"/>
    <w:rPr>
      <w:rFonts w:ascii="Tahoma" w:eastAsiaTheme="minorEastAsia" w:hAnsi="Tahoma" w:cs="Tahoma"/>
      <w:sz w:val="16"/>
      <w:szCs w:val="16"/>
    </w:rPr>
  </w:style>
  <w:style w:type="character" w:styleId="BookTitle">
    <w:name w:val="Book Title"/>
    <w:basedOn w:val="DefaultParagraphFont"/>
    <w:uiPriority w:val="99"/>
    <w:semiHidden/>
    <w:qFormat/>
    <w:rsid w:val="005C50CD"/>
    <w:rPr>
      <w:rFonts w:cs="Times New Roman"/>
      <w:i/>
      <w:smallCaps/>
      <w:spacing w:val="5"/>
    </w:rPr>
  </w:style>
  <w:style w:type="paragraph" w:customStyle="1" w:styleId="ECHRHeader">
    <w:name w:val="ECHR_Header"/>
    <w:aliases w:val="Ju_Header"/>
    <w:basedOn w:val="Header"/>
    <w:uiPriority w:val="4"/>
    <w:qFormat/>
    <w:rsid w:val="005C50CD"/>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5C50CD"/>
    <w:pPr>
      <w:jc w:val="left"/>
    </w:pPr>
    <w:rPr>
      <w:sz w:val="8"/>
    </w:rPr>
  </w:style>
  <w:style w:type="character" w:styleId="Strong">
    <w:name w:val="Strong"/>
    <w:basedOn w:val="DefaultParagraphFont"/>
    <w:uiPriority w:val="99"/>
    <w:semiHidden/>
    <w:qFormat/>
    <w:rsid w:val="005C50CD"/>
    <w:rPr>
      <w:rFonts w:cs="Times New Roman"/>
      <w:b/>
    </w:rPr>
  </w:style>
  <w:style w:type="paragraph" w:styleId="NoSpacing">
    <w:name w:val="No Spacing"/>
    <w:basedOn w:val="Normal"/>
    <w:link w:val="NoSpacingChar"/>
    <w:uiPriority w:val="1"/>
    <w:semiHidden/>
    <w:qFormat/>
    <w:rsid w:val="005C50CD"/>
  </w:style>
  <w:style w:type="character" w:customStyle="1" w:styleId="NoSpacingChar">
    <w:name w:val="No Spacing Char"/>
    <w:basedOn w:val="DefaultParagraphFont"/>
    <w:link w:val="NoSpacing"/>
    <w:semiHidden/>
    <w:locked/>
    <w:rsid w:val="005C50CD"/>
    <w:rPr>
      <w:rFonts w:eastAsiaTheme="minorEastAsia" w:cs="Times New Roman"/>
      <w:sz w:val="24"/>
    </w:rPr>
  </w:style>
  <w:style w:type="paragraph" w:customStyle="1" w:styleId="ECHRFooterLine">
    <w:name w:val="ECHR_Footer_Line"/>
    <w:aliases w:val="Footer_Line"/>
    <w:basedOn w:val="Normal"/>
    <w:next w:val="ECHRFooter"/>
    <w:uiPriority w:val="57"/>
    <w:semiHidden/>
    <w:rsid w:val="005C50CD"/>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5C50CD"/>
    <w:pPr>
      <w:numPr>
        <w:numId w:val="34"/>
      </w:numPr>
      <w:jc w:val="left"/>
    </w:pPr>
    <w:rPr>
      <w:b/>
    </w:rPr>
  </w:style>
  <w:style w:type="paragraph" w:customStyle="1" w:styleId="OpiPara">
    <w:name w:val="Opi_Para"/>
    <w:basedOn w:val="ECHRPara"/>
    <w:uiPriority w:val="46"/>
    <w:semiHidden/>
    <w:qFormat/>
    <w:rsid w:val="005C50CD"/>
  </w:style>
  <w:style w:type="paragraph" w:customStyle="1" w:styleId="JuParaSub">
    <w:name w:val="Ju_Para_Sub"/>
    <w:basedOn w:val="ECHRPara"/>
    <w:uiPriority w:val="13"/>
    <w:qFormat/>
    <w:rsid w:val="005C50CD"/>
    <w:pPr>
      <w:ind w:left="284"/>
    </w:pPr>
  </w:style>
  <w:style w:type="paragraph" w:customStyle="1" w:styleId="ECHRTitleCentre3">
    <w:name w:val="ECHR_Title_Centre_3"/>
    <w:aliases w:val="Ju_H_Article"/>
    <w:basedOn w:val="Normal"/>
    <w:next w:val="ECHRParaQuote"/>
    <w:uiPriority w:val="27"/>
    <w:qFormat/>
    <w:rsid w:val="005C50CD"/>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5C50CD"/>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5C50CD"/>
  </w:style>
  <w:style w:type="paragraph" w:customStyle="1" w:styleId="OpiQuot">
    <w:name w:val="Opi_Quot"/>
    <w:basedOn w:val="ECHRParaQuote"/>
    <w:uiPriority w:val="48"/>
    <w:semiHidden/>
    <w:qFormat/>
    <w:rsid w:val="005C50CD"/>
  </w:style>
  <w:style w:type="paragraph" w:customStyle="1" w:styleId="OpiQuotSub">
    <w:name w:val="Opi_Quot_Sub"/>
    <w:basedOn w:val="JuQuotSub"/>
    <w:uiPriority w:val="49"/>
    <w:semiHidden/>
    <w:qFormat/>
    <w:rsid w:val="005C50CD"/>
  </w:style>
  <w:style w:type="paragraph" w:customStyle="1" w:styleId="ECHRTitleCentre2">
    <w:name w:val="ECHR_Title_Centre_2"/>
    <w:aliases w:val="Dec_H_Case"/>
    <w:basedOn w:val="Normal"/>
    <w:next w:val="ECHRPara"/>
    <w:uiPriority w:val="8"/>
    <w:qFormat/>
    <w:rsid w:val="005C50CD"/>
    <w:pPr>
      <w:spacing w:after="240"/>
      <w:jc w:val="center"/>
      <w:outlineLvl w:val="0"/>
    </w:pPr>
    <w:rPr>
      <w:rFonts w:asciiTheme="majorHAnsi" w:hAnsiTheme="majorHAnsi"/>
    </w:rPr>
  </w:style>
  <w:style w:type="paragraph" w:customStyle="1" w:styleId="JuTitle">
    <w:name w:val="Ju_Title"/>
    <w:basedOn w:val="Normal"/>
    <w:next w:val="ECHRPara"/>
    <w:uiPriority w:val="3"/>
    <w:qFormat/>
    <w:rsid w:val="005C50CD"/>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5C50CD"/>
    <w:pPr>
      <w:pBdr>
        <w:bottom w:val="single" w:sz="4" w:space="1" w:color="auto"/>
      </w:pBdr>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99"/>
    <w:semiHidden/>
    <w:locked/>
    <w:rsid w:val="005C50CD"/>
    <w:rPr>
      <w:rFonts w:asciiTheme="majorHAnsi" w:eastAsiaTheme="majorEastAsia" w:hAnsiTheme="majorHAnsi" w:cs="Times New Roman"/>
      <w:spacing w:val="5"/>
      <w:sz w:val="52"/>
      <w:szCs w:val="52"/>
    </w:rPr>
  </w:style>
  <w:style w:type="paragraph" w:customStyle="1" w:styleId="ECHRHeading3">
    <w:name w:val="ECHR_Heading_3"/>
    <w:aliases w:val="Ju_H_1."/>
    <w:basedOn w:val="Heading3"/>
    <w:next w:val="ECHRPara"/>
    <w:uiPriority w:val="21"/>
    <w:qFormat/>
    <w:rsid w:val="005C50CD"/>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5C50CD"/>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5C50CD"/>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5C50CD"/>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5C50CD"/>
    <w:pPr>
      <w:keepNext/>
      <w:keepLines/>
      <w:spacing w:before="240" w:after="120"/>
      <w:ind w:left="1236"/>
    </w:pPr>
    <w:rPr>
      <w:sz w:val="20"/>
    </w:rPr>
  </w:style>
  <w:style w:type="paragraph" w:customStyle="1" w:styleId="JuQuotSub">
    <w:name w:val="Ju_Quot_Sub"/>
    <w:basedOn w:val="ECHRParaQuote"/>
    <w:uiPriority w:val="15"/>
    <w:qFormat/>
    <w:rsid w:val="005C50CD"/>
    <w:pPr>
      <w:ind w:left="567"/>
    </w:pPr>
  </w:style>
  <w:style w:type="paragraph" w:customStyle="1" w:styleId="JuInitialled">
    <w:name w:val="Ju_Initialled"/>
    <w:basedOn w:val="Normal"/>
    <w:uiPriority w:val="31"/>
    <w:qFormat/>
    <w:rsid w:val="005C50CD"/>
    <w:pPr>
      <w:tabs>
        <w:tab w:val="center" w:pos="6407"/>
      </w:tabs>
      <w:spacing w:before="720"/>
      <w:jc w:val="right"/>
    </w:pPr>
  </w:style>
  <w:style w:type="paragraph" w:customStyle="1" w:styleId="OpiHA">
    <w:name w:val="Opi_H_A"/>
    <w:basedOn w:val="ECHRHeading1"/>
    <w:next w:val="OpiPara"/>
    <w:uiPriority w:val="41"/>
    <w:semiHidden/>
    <w:qFormat/>
    <w:rsid w:val="005C50CD"/>
    <w:pPr>
      <w:tabs>
        <w:tab w:val="clear" w:pos="357"/>
      </w:tabs>
      <w:outlineLvl w:val="1"/>
    </w:pPr>
    <w:rPr>
      <w:b/>
    </w:rPr>
  </w:style>
  <w:style w:type="paragraph" w:styleId="Header">
    <w:name w:val="header"/>
    <w:basedOn w:val="Normal"/>
    <w:link w:val="HeaderChar"/>
    <w:uiPriority w:val="57"/>
    <w:semiHidden/>
    <w:rsid w:val="005C50CD"/>
    <w:pPr>
      <w:tabs>
        <w:tab w:val="center" w:pos="4536"/>
        <w:tab w:val="right" w:pos="9072"/>
      </w:tabs>
    </w:pPr>
    <w:rPr>
      <w:rFonts w:eastAsia="Times New Roman"/>
    </w:rPr>
  </w:style>
  <w:style w:type="character" w:customStyle="1" w:styleId="HeaderChar">
    <w:name w:val="Header Char"/>
    <w:basedOn w:val="DefaultParagraphFont"/>
    <w:link w:val="Header"/>
    <w:uiPriority w:val="57"/>
    <w:semiHidden/>
    <w:locked/>
    <w:rsid w:val="005C50CD"/>
    <w:rPr>
      <w:rFonts w:cs="Times New Roman"/>
      <w:sz w:val="24"/>
    </w:rPr>
  </w:style>
  <w:style w:type="paragraph" w:customStyle="1" w:styleId="ECHRHeading1">
    <w:name w:val="ECHR_Heading_1"/>
    <w:aliases w:val="Ju_H_I_Roman"/>
    <w:basedOn w:val="Heading1"/>
    <w:next w:val="ECHRPara"/>
    <w:uiPriority w:val="19"/>
    <w:qFormat/>
    <w:rsid w:val="005C50CD"/>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Head_2"/>
    <w:basedOn w:val="Heading2"/>
    <w:next w:val="ECHRPara"/>
    <w:uiPriority w:val="20"/>
    <w:qFormat/>
    <w:rsid w:val="005C50CD"/>
    <w:pPr>
      <w:keepNext/>
      <w:keepLines/>
      <w:tabs>
        <w:tab w:val="left" w:pos="584"/>
      </w:tabs>
      <w:spacing w:before="360" w:after="240"/>
      <w:ind w:left="584" w:hanging="352"/>
    </w:pPr>
    <w:rPr>
      <w:color w:val="auto"/>
      <w:sz w:val="24"/>
    </w:rPr>
  </w:style>
  <w:style w:type="character" w:customStyle="1" w:styleId="JUNAMES">
    <w:name w:val="JU_NAMES"/>
    <w:uiPriority w:val="17"/>
    <w:qFormat/>
    <w:rsid w:val="005C50CD"/>
    <w:rPr>
      <w:smallCaps/>
    </w:rPr>
  </w:style>
  <w:style w:type="paragraph" w:customStyle="1" w:styleId="ECHRDecisionBody">
    <w:name w:val="ECHR_Decision_Body"/>
    <w:aliases w:val="Ju_Judges"/>
    <w:basedOn w:val="Normal"/>
    <w:uiPriority w:val="11"/>
    <w:qFormat/>
    <w:rsid w:val="005C50CD"/>
    <w:pPr>
      <w:tabs>
        <w:tab w:val="left" w:pos="567"/>
        <w:tab w:val="left" w:pos="1134"/>
      </w:tabs>
      <w:jc w:val="left"/>
    </w:pPr>
  </w:style>
  <w:style w:type="paragraph" w:customStyle="1" w:styleId="ECHRPara">
    <w:name w:val="ECHR_Para"/>
    <w:aliases w:val="Ju_Para"/>
    <w:basedOn w:val="Normal"/>
    <w:link w:val="ECHRParaChar"/>
    <w:uiPriority w:val="12"/>
    <w:qFormat/>
    <w:rsid w:val="005C50CD"/>
    <w:pPr>
      <w:ind w:firstLine="284"/>
    </w:pPr>
  </w:style>
  <w:style w:type="character" w:styleId="SubtleEmphasis">
    <w:name w:val="Subtle Emphasis"/>
    <w:basedOn w:val="DefaultParagraphFont"/>
    <w:uiPriority w:val="99"/>
    <w:semiHidden/>
    <w:qFormat/>
    <w:rsid w:val="005C50CD"/>
    <w:rPr>
      <w:rFonts w:cs="Times New Roman"/>
      <w:i/>
    </w:rPr>
  </w:style>
  <w:style w:type="table" w:customStyle="1" w:styleId="ECHRTable">
    <w:name w:val="ECHR_Table"/>
    <w:basedOn w:val="TableNormal"/>
    <w:rsid w:val="00860B03"/>
    <w:rPr>
      <w:rFonts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cs="Times New Roman"/>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rFonts w:cs="Times New Roman"/>
        <w:b/>
      </w:rPr>
    </w:tblStylePr>
    <w:tblStylePr w:type="band2Vert">
      <w:rPr>
        <w:rFonts w:cs="Times New Roman"/>
      </w:rPr>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rPr>
        <w:rFonts w:cs="Times New Roman"/>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rFonts w:cs="Times New Roman"/>
        <w:b/>
        <w:color w:val="5F5F5F" w:themeColor="accent3"/>
      </w:rPr>
    </w:tblStylePr>
  </w:style>
  <w:style w:type="paragraph" w:customStyle="1" w:styleId="ECHRTitle1">
    <w:name w:val="ECHR_Title_1"/>
    <w:aliases w:val="Ju_H_Head,Title_L_1"/>
    <w:basedOn w:val="Normal"/>
    <w:next w:val="ECHRPara"/>
    <w:uiPriority w:val="18"/>
    <w:qFormat/>
    <w:rsid w:val="005C50CD"/>
    <w:pPr>
      <w:keepNext/>
      <w:keepLines/>
      <w:spacing w:before="720" w:after="240"/>
      <w:outlineLvl w:val="0"/>
    </w:pPr>
    <w:rPr>
      <w:rFonts w:asciiTheme="majorHAnsi" w:hAnsiTheme="majorHAnsi"/>
      <w:sz w:val="28"/>
    </w:rPr>
  </w:style>
  <w:style w:type="character" w:styleId="Emphasis">
    <w:name w:val="Emphasis"/>
    <w:basedOn w:val="DefaultParagraphFont"/>
    <w:uiPriority w:val="99"/>
    <w:semiHidden/>
    <w:qFormat/>
    <w:rsid w:val="005C50CD"/>
    <w:rPr>
      <w:rFonts w:cs="Times New Roman"/>
      <w:b/>
      <w:i/>
      <w:spacing w:val="10"/>
      <w:shd w:val="clear" w:color="auto" w:fill="auto"/>
    </w:rPr>
  </w:style>
  <w:style w:type="paragraph" w:styleId="Footer">
    <w:name w:val="footer"/>
    <w:basedOn w:val="Normal"/>
    <w:link w:val="FooterChar"/>
    <w:uiPriority w:val="57"/>
    <w:semiHidden/>
    <w:rsid w:val="005C50CD"/>
    <w:pPr>
      <w:tabs>
        <w:tab w:val="center" w:pos="4536"/>
        <w:tab w:val="right" w:pos="9696"/>
      </w:tabs>
      <w:ind w:left="-680" w:right="-680"/>
    </w:pPr>
    <w:rPr>
      <w:rFonts w:eastAsia="Times New Roman"/>
    </w:rPr>
  </w:style>
  <w:style w:type="character" w:customStyle="1" w:styleId="FooterChar">
    <w:name w:val="Footer Char"/>
    <w:basedOn w:val="DefaultParagraphFont"/>
    <w:link w:val="Footer"/>
    <w:uiPriority w:val="57"/>
    <w:semiHidden/>
    <w:locked/>
    <w:rsid w:val="005C50CD"/>
    <w:rPr>
      <w:rFonts w:cs="Times New Roman"/>
      <w:sz w:val="24"/>
    </w:rPr>
  </w:style>
  <w:style w:type="character" w:styleId="FootnoteReference">
    <w:name w:val="footnote reference"/>
    <w:basedOn w:val="DefaultParagraphFont"/>
    <w:uiPriority w:val="99"/>
    <w:semiHidden/>
    <w:rsid w:val="005C50CD"/>
    <w:rPr>
      <w:rFonts w:cs="Times New Roman"/>
      <w:vertAlign w:val="superscript"/>
    </w:rPr>
  </w:style>
  <w:style w:type="paragraph" w:styleId="FootnoteText">
    <w:name w:val="footnote text"/>
    <w:basedOn w:val="Normal"/>
    <w:link w:val="FootnoteTextChar"/>
    <w:uiPriority w:val="99"/>
    <w:semiHidden/>
    <w:rsid w:val="005C50CD"/>
    <w:rPr>
      <w:sz w:val="20"/>
      <w:szCs w:val="20"/>
    </w:rPr>
  </w:style>
  <w:style w:type="character" w:customStyle="1" w:styleId="FootnoteTextChar">
    <w:name w:val="Footnote Text Char"/>
    <w:basedOn w:val="DefaultParagraphFont"/>
    <w:link w:val="FootnoteText"/>
    <w:uiPriority w:val="99"/>
    <w:semiHidden/>
    <w:locked/>
    <w:rsid w:val="005C50CD"/>
    <w:rPr>
      <w:rFonts w:eastAsiaTheme="minorEastAsia" w:cs="Times New Roman"/>
      <w:sz w:val="20"/>
      <w:szCs w:val="20"/>
    </w:rPr>
  </w:style>
  <w:style w:type="character" w:styleId="Hyperlink">
    <w:name w:val="Hyperlink"/>
    <w:basedOn w:val="DefaultParagraphFont"/>
    <w:uiPriority w:val="99"/>
    <w:semiHidden/>
    <w:rsid w:val="005C50CD"/>
    <w:rPr>
      <w:rFonts w:cs="Times New Roman"/>
      <w:color w:val="0072BC" w:themeColor="hyperlink"/>
      <w:u w:val="single"/>
    </w:rPr>
  </w:style>
  <w:style w:type="character" w:styleId="IntenseEmphasis">
    <w:name w:val="Intense Emphasis"/>
    <w:basedOn w:val="DefaultParagraphFont"/>
    <w:uiPriority w:val="99"/>
    <w:semiHidden/>
    <w:qFormat/>
    <w:rsid w:val="005C50CD"/>
    <w:rPr>
      <w:rFonts w:cs="Times New Roman"/>
      <w:b/>
    </w:rPr>
  </w:style>
  <w:style w:type="paragraph" w:styleId="IntenseQuote">
    <w:name w:val="Intense Quote"/>
    <w:basedOn w:val="Normal"/>
    <w:next w:val="Normal"/>
    <w:link w:val="IntenseQuoteChar"/>
    <w:uiPriority w:val="99"/>
    <w:semiHidden/>
    <w:qFormat/>
    <w:rsid w:val="005C50CD"/>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9"/>
    <w:semiHidden/>
    <w:locked/>
    <w:rsid w:val="005C50CD"/>
    <w:rPr>
      <w:rFonts w:eastAsiaTheme="minorEastAsia" w:cs="Times New Roman"/>
      <w:b/>
      <w:bCs/>
      <w:i/>
      <w:iCs/>
      <w:sz w:val="24"/>
    </w:rPr>
  </w:style>
  <w:style w:type="character" w:styleId="IntenseReference">
    <w:name w:val="Intense Reference"/>
    <w:basedOn w:val="DefaultParagraphFont"/>
    <w:uiPriority w:val="99"/>
    <w:semiHidden/>
    <w:qFormat/>
    <w:rsid w:val="005C50CD"/>
    <w:rPr>
      <w:rFonts w:cs="Times New Roman"/>
      <w:smallCaps/>
      <w:spacing w:val="5"/>
      <w:u w:val="single"/>
    </w:rPr>
  </w:style>
  <w:style w:type="paragraph" w:styleId="ListParagraph">
    <w:name w:val="List Paragraph"/>
    <w:basedOn w:val="Normal"/>
    <w:uiPriority w:val="99"/>
    <w:semiHidden/>
    <w:qFormat/>
    <w:rsid w:val="005C50CD"/>
    <w:pPr>
      <w:ind w:left="720"/>
      <w:contextualSpacing/>
    </w:pPr>
  </w:style>
  <w:style w:type="table" w:customStyle="1" w:styleId="LtrTableAddress">
    <w:name w:val="Ltr_Table_Address"/>
    <w:basedOn w:val="TableNormal"/>
    <w:uiPriority w:val="99"/>
    <w:rsid w:val="001E6F32"/>
    <w:rPr>
      <w:rFonts w:cs="Times New Roman"/>
    </w:rPr>
    <w:tblPr>
      <w:tblInd w:w="5103" w:type="dxa"/>
    </w:tblPr>
  </w:style>
  <w:style w:type="paragraph" w:styleId="Quote">
    <w:name w:val="Quote"/>
    <w:basedOn w:val="Normal"/>
    <w:next w:val="Normal"/>
    <w:link w:val="QuoteChar"/>
    <w:uiPriority w:val="99"/>
    <w:semiHidden/>
    <w:qFormat/>
    <w:rsid w:val="005C50CD"/>
    <w:pPr>
      <w:spacing w:before="200"/>
      <w:ind w:left="360" w:right="360"/>
    </w:pPr>
    <w:rPr>
      <w:i/>
      <w:iCs/>
    </w:rPr>
  </w:style>
  <w:style w:type="character" w:customStyle="1" w:styleId="QuoteChar">
    <w:name w:val="Quote Char"/>
    <w:basedOn w:val="DefaultParagraphFont"/>
    <w:link w:val="Quote"/>
    <w:uiPriority w:val="99"/>
    <w:semiHidden/>
    <w:locked/>
    <w:rsid w:val="005C50CD"/>
    <w:rPr>
      <w:rFonts w:eastAsiaTheme="minorEastAsia" w:cs="Times New Roman"/>
      <w:i/>
      <w:iCs/>
      <w:sz w:val="24"/>
    </w:rPr>
  </w:style>
  <w:style w:type="character" w:styleId="SubtleReference">
    <w:name w:val="Subtle Reference"/>
    <w:basedOn w:val="DefaultParagraphFont"/>
    <w:uiPriority w:val="99"/>
    <w:semiHidden/>
    <w:qFormat/>
    <w:rsid w:val="005C50CD"/>
    <w:rPr>
      <w:rFonts w:cs="Times New Roman"/>
      <w:smallCaps/>
    </w:rPr>
  </w:style>
  <w:style w:type="table" w:styleId="TableGrid">
    <w:name w:val="Table Grid"/>
    <w:basedOn w:val="TableNormal"/>
    <w:uiPriority w:val="59"/>
    <w:rsid w:val="005C50CD"/>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5C50CD"/>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5C50CD"/>
    <w:pPr>
      <w:spacing w:after="60"/>
      <w:ind w:left="680" w:right="340" w:hanging="340"/>
    </w:pPr>
  </w:style>
  <w:style w:type="paragraph" w:styleId="TOC3">
    <w:name w:val="toc 3"/>
    <w:basedOn w:val="Normal"/>
    <w:next w:val="Normal"/>
    <w:autoRedefine/>
    <w:uiPriority w:val="99"/>
    <w:semiHidden/>
    <w:rsid w:val="005C50CD"/>
    <w:pPr>
      <w:spacing w:after="60"/>
      <w:ind w:left="1020" w:right="340" w:hanging="340"/>
    </w:pPr>
  </w:style>
  <w:style w:type="paragraph" w:styleId="TOC4">
    <w:name w:val="toc 4"/>
    <w:basedOn w:val="Normal"/>
    <w:next w:val="Normal"/>
    <w:autoRedefine/>
    <w:uiPriority w:val="99"/>
    <w:semiHidden/>
    <w:rsid w:val="005C50CD"/>
    <w:pPr>
      <w:tabs>
        <w:tab w:val="right" w:leader="dot" w:pos="9017"/>
      </w:tabs>
      <w:spacing w:after="60"/>
      <w:ind w:left="1361" w:right="340" w:hanging="340"/>
    </w:pPr>
  </w:style>
  <w:style w:type="paragraph" w:styleId="TOC5">
    <w:name w:val="toc 5"/>
    <w:basedOn w:val="Normal"/>
    <w:next w:val="Normal"/>
    <w:autoRedefine/>
    <w:uiPriority w:val="99"/>
    <w:semiHidden/>
    <w:rsid w:val="005C50CD"/>
    <w:pPr>
      <w:spacing w:after="60"/>
      <w:ind w:left="1701" w:right="340" w:hanging="340"/>
    </w:pPr>
  </w:style>
  <w:style w:type="paragraph" w:styleId="TOCHeading">
    <w:name w:val="TOC Heading"/>
    <w:basedOn w:val="Heading1"/>
    <w:next w:val="Normal"/>
    <w:uiPriority w:val="99"/>
    <w:semiHidden/>
    <w:qFormat/>
    <w:rsid w:val="005C50CD"/>
    <w:pPr>
      <w:outlineLvl w:val="9"/>
    </w:pPr>
    <w:rPr>
      <w:color w:val="474747" w:themeColor="accent3" w:themeShade="BF"/>
    </w:rPr>
  </w:style>
  <w:style w:type="table" w:customStyle="1" w:styleId="UGTable">
    <w:name w:val="UG_Table"/>
    <w:basedOn w:val="TableNormal"/>
    <w:uiPriority w:val="99"/>
    <w:rsid w:val="00801300"/>
    <w:rPr>
      <w:rFonts w:eastAsiaTheme="minorEastAsia" w:cs="Times New Roman"/>
      <w:sz w:val="20"/>
      <w:lang w:val="en-GB" w:eastAsia="en-GB"/>
    </w:rPr>
    <w:tblPr>
      <w:tblInd w:w="-1191" w:type="dxa"/>
      <w:tblCellMar>
        <w:top w:w="57" w:type="dxa"/>
        <w:left w:w="0" w:type="dxa"/>
        <w:right w:w="0" w:type="dxa"/>
      </w:tblCellMar>
    </w:tblPr>
    <w:tblStylePr w:type="swCell">
      <w:rPr>
        <w:rFonts w:cs="Times New Roman"/>
      </w:rPr>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cs="Times New Roman"/>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rFonts w:cs="Times New Roman"/>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spacing w:beforeLines="0" w:before="120" w:beforeAutospacing="0" w:afterLines="0" w:after="120" w:afterAutospacing="0"/>
        <w:contextualSpacing/>
        <w:jc w:val="center"/>
      </w:pPr>
      <w:rPr>
        <w:rFonts w:cs="Times New Roman"/>
        <w:b/>
        <w:i w:val="0"/>
        <w:color w:val="FFFFFF"/>
        <w:sz w:val="20"/>
      </w:rPr>
      <w:tblPr/>
      <w:tcPr>
        <w:tcBorders>
          <w:top w:val="nil"/>
          <w:left w:val="nil"/>
          <w:bottom w:val="nil"/>
          <w:right w:val="nil"/>
          <w:insideH w:val="nil"/>
          <w:insideV w:val="nil"/>
          <w:tl2br w:val="nil"/>
          <w:tr2bl w:val="nil"/>
        </w:tcBorders>
        <w:shd w:val="clear" w:color="auto" w:fill="0072BC" w:themeFill="accent1"/>
      </w:tcPr>
    </w:tblStylePr>
    <w:tblStylePr w:type="firstCol">
      <w:pPr>
        <w:jc w:val="left"/>
      </w:pPr>
      <w:rPr>
        <w:rFonts w:cs="Times New Roman"/>
      </w:rPr>
    </w:tblStylePr>
  </w:style>
  <w:style w:type="table" w:customStyle="1" w:styleId="ECHRTableFax">
    <w:name w:val="ECHR_Table_Fax"/>
    <w:basedOn w:val="TableNormal"/>
    <w:uiPriority w:val="99"/>
    <w:rsid w:val="00893576"/>
    <w:rPr>
      <w:rFonts w:cs="Times New Roman"/>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rPr>
      <w:rFonts w:cs="Times New Roman"/>
    </w:rPr>
    <w:tblPr>
      <w:jc w:val="center"/>
      <w:tblCellMar>
        <w:top w:w="113" w:type="dxa"/>
        <w:left w:w="0" w:type="dxa"/>
        <w:bottom w:w="113" w:type="dxa"/>
        <w:right w:w="0" w:type="dxa"/>
      </w:tblCellMar>
    </w:tblPr>
    <w:trPr>
      <w:jc w:val="center"/>
    </w:trPr>
    <w:tblStylePr w:type="lastRow">
      <w:rPr>
        <w:rFonts w:cs="Times New Roman"/>
      </w:rPr>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rPr>
      <w:rFonts w:cs="Times New Roman"/>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blStylePr w:type="firstRow">
      <w:pPr>
        <w:spacing w:beforeLines="0"/>
        <w:ind w:leftChars="0" w:left="0"/>
      </w:pPr>
      <w:rPr>
        <w:rFonts w:asciiTheme="majorHAnsi" w:hAnsiTheme="majorHAnsi" w:cs="Times New Roman"/>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5C50CD"/>
    <w:pPr>
      <w:spacing w:before="120"/>
    </w:pPr>
    <w:rPr>
      <w:rFonts w:asciiTheme="majorHAnsi" w:eastAsiaTheme="majorEastAsia" w:hAnsiTheme="majorHAnsi"/>
      <w:b/>
      <w:bCs/>
      <w:color w:val="474747" w:themeColor="accent3" w:themeShade="BF"/>
      <w:szCs w:val="24"/>
    </w:rPr>
  </w:style>
  <w:style w:type="paragraph" w:customStyle="1" w:styleId="ECHRParaQuote">
    <w:name w:val="ECHR_Para_Quote"/>
    <w:aliases w:val="Ju_Quot,Para_Quote"/>
    <w:basedOn w:val="Normal"/>
    <w:uiPriority w:val="14"/>
    <w:qFormat/>
    <w:rsid w:val="005C50CD"/>
    <w:pPr>
      <w:spacing w:before="120" w:after="120"/>
      <w:ind w:left="425" w:firstLine="142"/>
    </w:pPr>
    <w:rPr>
      <w:sz w:val="20"/>
    </w:rPr>
  </w:style>
  <w:style w:type="table" w:customStyle="1" w:styleId="ECHRTableSimpleBox">
    <w:name w:val="ECHR_Table_Simple_Box"/>
    <w:basedOn w:val="TableNormal"/>
    <w:uiPriority w:val="99"/>
    <w:rsid w:val="00AE354C"/>
    <w:rPr>
      <w:rFonts w:cs="Times New Roman"/>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rPr>
      <w:rFonts w:cs="Times New Roman"/>
    </w:rPr>
    <w:tblPr>
      <w:tblCellMar>
        <w:top w:w="85" w:type="dxa"/>
        <w:left w:w="142" w:type="dxa"/>
        <w:bottom w:w="28" w:type="dxa"/>
        <w:right w:w="142" w:type="dxa"/>
      </w:tblCellMar>
    </w:tblPr>
    <w:tblStylePr w:type="firstRow">
      <w:rPr>
        <w:rFonts w:asciiTheme="majorHAnsi" w:hAnsiTheme="majorHAnsi" w:cs="Times New Roman"/>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rPr>
        <w:rFonts w:cs="Times New Roman"/>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rFonts w:cs="Times New Roman"/>
      <w:color w:val="636363" w:themeColor="text2" w:themeShade="80"/>
      <w:sz w:val="18"/>
    </w:rPr>
    <w:tblPr>
      <w:tblStyleColBandSize w:val="1"/>
      <w:jc w:val="right"/>
      <w:tblCellMar>
        <w:top w:w="113" w:type="dxa"/>
        <w:bottom w:w="28" w:type="dxa"/>
      </w:tblCellMar>
    </w:tblPr>
    <w:trPr>
      <w:jc w:val="right"/>
    </w:trPr>
    <w:tblStylePr w:type="firstRow">
      <w:rPr>
        <w:rFonts w:cs="Times New Roman"/>
        <w:b/>
      </w:rPr>
    </w:tblStylePr>
    <w:tblStylePr w:type="lastCol">
      <w:pPr>
        <w:jc w:val="right"/>
      </w:pPr>
      <w:rPr>
        <w:rFonts w:cs="Times New Roman"/>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rPr>
        <w:rFonts w:cs="Times New Roman"/>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5C50CD"/>
    <w:rPr>
      <w:rFonts w:cs="Times New Roman"/>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cs="Times New Roman"/>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rPr>
      <w:rFonts w:cs="Times New Roman"/>
    </w:rPr>
    <w:tblPr>
      <w:tblInd w:w="-680" w:type="dxa"/>
      <w:tblBorders>
        <w:bottom w:val="single" w:sz="6" w:space="0" w:color="949494" w:themeColor="text2" w:themeShade="BF"/>
      </w:tblBorders>
      <w:tblCellMar>
        <w:left w:w="0" w:type="dxa"/>
        <w:bottom w:w="28" w:type="dxa"/>
        <w:right w:w="0" w:type="dxa"/>
      </w:tblCellMar>
    </w:tblPr>
    <w:tblStylePr w:type="lastCol">
      <w:pPr>
        <w:jc w:val="both"/>
      </w:pPr>
      <w:rPr>
        <w:rFonts w:cs="Times New Roman"/>
      </w:rPr>
    </w:tblStylePr>
  </w:style>
  <w:style w:type="table" w:customStyle="1" w:styleId="ECHRTableOddBanded">
    <w:name w:val="ECHR_Table_Odd_Banded"/>
    <w:basedOn w:val="TableNormal"/>
    <w:uiPriority w:val="99"/>
    <w:rsid w:val="00860B03"/>
    <w:rPr>
      <w:rFonts w:cs="Times New Roman"/>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cs="Times New Roman"/>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rPr>
        <w:rFonts w:cs="Times New Roman"/>
      </w:rPr>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rFonts w:cs="Times New Roman"/>
        <w:b/>
      </w:rPr>
      <w:tblPr/>
      <w:tcPr>
        <w:shd w:val="clear" w:color="auto" w:fill="DFDFDF" w:themeFill="background2" w:themeFillShade="E6"/>
      </w:tcPr>
    </w:tblStylePr>
  </w:style>
  <w:style w:type="table" w:customStyle="1" w:styleId="ECHRHeaderTableReduced">
    <w:name w:val="ECHR_Header_Table_Reduced"/>
    <w:basedOn w:val="TableNormal"/>
    <w:uiPriority w:val="99"/>
    <w:rsid w:val="00B52BE0"/>
    <w:rPr>
      <w:rFonts w:cs="Times New Roman"/>
    </w:rPr>
    <w:tblPr>
      <w:tblInd w:w="-680" w:type="dxa"/>
      <w:tblCellMar>
        <w:left w:w="0" w:type="dxa"/>
        <w:right w:w="0" w:type="dxa"/>
      </w:tblCellMar>
    </w:tblPr>
    <w:tblStylePr w:type="firstRow">
      <w:rPr>
        <w:rFonts w:cs="Times New Roman"/>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rPr>
        <w:rFonts w:cs="Times New Roman"/>
      </w:r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Signed">
    <w:name w:val="Ju_Signed"/>
    <w:basedOn w:val="Normal"/>
    <w:next w:val="JuParaLast"/>
    <w:uiPriority w:val="32"/>
    <w:qFormat/>
    <w:rsid w:val="005C50CD"/>
    <w:pPr>
      <w:tabs>
        <w:tab w:val="center" w:pos="851"/>
        <w:tab w:val="center" w:pos="6407"/>
      </w:tabs>
      <w:spacing w:before="720"/>
      <w:jc w:val="left"/>
    </w:pPr>
  </w:style>
  <w:style w:type="paragraph" w:customStyle="1" w:styleId="JuParaLast">
    <w:name w:val="Ju_Para_Last"/>
    <w:basedOn w:val="Normal"/>
    <w:next w:val="ECHRPara"/>
    <w:uiPriority w:val="30"/>
    <w:qFormat/>
    <w:rsid w:val="005C50CD"/>
    <w:pPr>
      <w:keepNext/>
      <w:keepLines/>
      <w:spacing w:before="240"/>
      <w:ind w:firstLine="284"/>
    </w:pPr>
  </w:style>
  <w:style w:type="paragraph" w:customStyle="1" w:styleId="JuCase">
    <w:name w:val="Ju_Case"/>
    <w:basedOn w:val="Normal"/>
    <w:next w:val="ECHRPara"/>
    <w:uiPriority w:val="10"/>
    <w:rsid w:val="005C50CD"/>
    <w:pPr>
      <w:ind w:firstLine="284"/>
    </w:pPr>
    <w:rPr>
      <w:b/>
    </w:rPr>
  </w:style>
  <w:style w:type="paragraph" w:customStyle="1" w:styleId="JuList">
    <w:name w:val="Ju_List"/>
    <w:basedOn w:val="Normal"/>
    <w:uiPriority w:val="28"/>
    <w:qFormat/>
    <w:rsid w:val="005C50CD"/>
    <w:pPr>
      <w:ind w:left="340" w:hanging="340"/>
    </w:pPr>
  </w:style>
  <w:style w:type="character" w:customStyle="1" w:styleId="JuITMark">
    <w:name w:val="Ju_ITMark"/>
    <w:basedOn w:val="DefaultParagraphFont"/>
    <w:uiPriority w:val="38"/>
    <w:qFormat/>
    <w:rsid w:val="005C50CD"/>
    <w:rPr>
      <w:rFonts w:cs="Times New Roman"/>
      <w:color w:val="auto"/>
      <w:sz w:val="14"/>
    </w:rPr>
  </w:style>
  <w:style w:type="character" w:styleId="PageNumber">
    <w:name w:val="page number"/>
    <w:basedOn w:val="DefaultParagraphFont"/>
    <w:uiPriority w:val="99"/>
    <w:semiHidden/>
    <w:rsid w:val="00E77CB3"/>
    <w:rPr>
      <w:rFonts w:ascii="Times New Roman" w:hAnsi="Times New Roman" w:cs="Times New Roman"/>
      <w:sz w:val="18"/>
    </w:rPr>
  </w:style>
  <w:style w:type="paragraph" w:customStyle="1" w:styleId="OpiTranslation">
    <w:name w:val="Opi_Translation"/>
    <w:basedOn w:val="Normal"/>
    <w:next w:val="OpiPara"/>
    <w:uiPriority w:val="40"/>
    <w:semiHidden/>
    <w:qFormat/>
    <w:rsid w:val="005C50CD"/>
    <w:pPr>
      <w:jc w:val="center"/>
      <w:outlineLvl w:val="0"/>
    </w:pPr>
    <w:rPr>
      <w:i/>
    </w:rPr>
  </w:style>
  <w:style w:type="paragraph" w:customStyle="1" w:styleId="DecHTitle">
    <w:name w:val="Dec_H_Title"/>
    <w:basedOn w:val="ECHRTitleCentre1"/>
    <w:uiPriority w:val="7"/>
    <w:qFormat/>
    <w:rsid w:val="005C50CD"/>
  </w:style>
  <w:style w:type="character" w:styleId="CommentReference">
    <w:name w:val="annotation reference"/>
    <w:basedOn w:val="DefaultParagraphFont"/>
    <w:uiPriority w:val="99"/>
    <w:semiHidden/>
    <w:rsid w:val="00E77CB3"/>
    <w:rPr>
      <w:rFonts w:cs="Times New Roman"/>
      <w:sz w:val="16"/>
    </w:rPr>
  </w:style>
  <w:style w:type="paragraph" w:styleId="CommentText">
    <w:name w:val="annotation text"/>
    <w:basedOn w:val="Normal"/>
    <w:link w:val="CommentTextChar"/>
    <w:uiPriority w:val="99"/>
    <w:semiHidden/>
    <w:rsid w:val="00E77CB3"/>
    <w:rPr>
      <w:sz w:val="20"/>
    </w:rPr>
  </w:style>
  <w:style w:type="character" w:customStyle="1" w:styleId="CommentTextChar">
    <w:name w:val="Comment Text Char"/>
    <w:basedOn w:val="DefaultParagraphFont"/>
    <w:link w:val="CommentText"/>
    <w:uiPriority w:val="99"/>
    <w:semiHidden/>
    <w:locked/>
    <w:rsid w:val="00E77CB3"/>
    <w:rPr>
      <w:rFonts w:eastAsiaTheme="minorEastAsia" w:cs="Times New Roman"/>
      <w:sz w:val="20"/>
    </w:rPr>
  </w:style>
  <w:style w:type="character" w:styleId="EndnoteReference">
    <w:name w:val="endnote reference"/>
    <w:basedOn w:val="DefaultParagraphFont"/>
    <w:uiPriority w:val="99"/>
    <w:semiHidden/>
    <w:rsid w:val="00E77CB3"/>
    <w:rPr>
      <w:rFonts w:ascii="Times New Roman" w:hAnsi="Times New Roman" w:cs="Times New Roman"/>
      <w:vertAlign w:val="superscript"/>
    </w:rPr>
  </w:style>
  <w:style w:type="paragraph" w:styleId="EndnoteText">
    <w:name w:val="endnote text"/>
    <w:basedOn w:val="Normal"/>
    <w:link w:val="EndnoteTextChar"/>
    <w:uiPriority w:val="99"/>
    <w:semiHidden/>
    <w:rsid w:val="00E77CB3"/>
    <w:rPr>
      <w:sz w:val="20"/>
    </w:rPr>
  </w:style>
  <w:style w:type="character" w:customStyle="1" w:styleId="EndnoteTextChar">
    <w:name w:val="Endnote Text Char"/>
    <w:basedOn w:val="DefaultParagraphFont"/>
    <w:link w:val="EndnoteText"/>
    <w:uiPriority w:val="99"/>
    <w:semiHidden/>
    <w:locked/>
    <w:rsid w:val="00E77CB3"/>
    <w:rPr>
      <w:rFonts w:eastAsiaTheme="minorEastAsia" w:cs="Times New Roman"/>
      <w:sz w:val="20"/>
    </w:rPr>
  </w:style>
  <w:style w:type="character" w:styleId="FollowedHyperlink">
    <w:name w:val="FollowedHyperlink"/>
    <w:basedOn w:val="DefaultParagraphFont"/>
    <w:uiPriority w:val="99"/>
    <w:semiHidden/>
    <w:rsid w:val="00E77CB3"/>
    <w:rPr>
      <w:rFonts w:ascii="Times New Roman" w:hAnsi="Times New Roman" w:cs="Times New Roman"/>
      <w:color w:val="800080"/>
      <w:u w:val="single"/>
    </w:rPr>
  </w:style>
  <w:style w:type="paragraph" w:styleId="ListBullet">
    <w:name w:val="List Bullet"/>
    <w:basedOn w:val="Normal"/>
    <w:uiPriority w:val="99"/>
    <w:semiHidden/>
    <w:rsid w:val="00E77CB3"/>
    <w:pPr>
      <w:numPr>
        <w:numId w:val="11"/>
      </w:numPr>
    </w:pPr>
  </w:style>
  <w:style w:type="paragraph" w:customStyle="1" w:styleId="JuCourt">
    <w:name w:val="Ju_Court"/>
    <w:basedOn w:val="Normal"/>
    <w:next w:val="Normal"/>
    <w:uiPriority w:val="16"/>
    <w:qFormat/>
    <w:rsid w:val="005C50CD"/>
    <w:pPr>
      <w:tabs>
        <w:tab w:val="left" w:pos="907"/>
        <w:tab w:val="left" w:pos="1701"/>
        <w:tab w:val="right" w:pos="7371"/>
      </w:tabs>
      <w:spacing w:before="240"/>
      <w:ind w:left="397" w:hanging="397"/>
      <w:jc w:val="left"/>
    </w:pPr>
  </w:style>
  <w:style w:type="paragraph" w:styleId="CommentSubject">
    <w:name w:val="annotation subject"/>
    <w:basedOn w:val="CommentText"/>
    <w:next w:val="CommentText"/>
    <w:link w:val="CommentSubjectChar"/>
    <w:uiPriority w:val="99"/>
    <w:semiHidden/>
    <w:rsid w:val="00E77CB3"/>
    <w:rPr>
      <w:b/>
      <w:bCs/>
    </w:rPr>
  </w:style>
  <w:style w:type="character" w:customStyle="1" w:styleId="CommentSubjectChar">
    <w:name w:val="Comment Subject Char"/>
    <w:basedOn w:val="CommentTextChar"/>
    <w:link w:val="CommentSubject"/>
    <w:uiPriority w:val="99"/>
    <w:semiHidden/>
    <w:locked/>
    <w:rsid w:val="00E77CB3"/>
    <w:rPr>
      <w:rFonts w:eastAsiaTheme="minorEastAsia" w:cs="Times New Roman"/>
      <w:b/>
      <w:bCs/>
      <w:sz w:val="20"/>
    </w:rPr>
  </w:style>
  <w:style w:type="paragraph" w:styleId="DocumentMap">
    <w:name w:val="Document Map"/>
    <w:basedOn w:val="Normal"/>
    <w:link w:val="DocumentMapChar"/>
    <w:uiPriority w:val="99"/>
    <w:semiHidden/>
    <w:rsid w:val="00E77CB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7CB3"/>
    <w:rPr>
      <w:rFonts w:ascii="Tahoma" w:eastAsiaTheme="minorEastAsia" w:hAnsi="Tahoma" w:cs="Tahoma"/>
      <w:sz w:val="20"/>
      <w:shd w:val="clear" w:color="auto" w:fill="000080"/>
    </w:rPr>
  </w:style>
  <w:style w:type="paragraph" w:customStyle="1" w:styleId="DecList">
    <w:name w:val="Dec_List"/>
    <w:basedOn w:val="Normal"/>
    <w:uiPriority w:val="9"/>
    <w:qFormat/>
    <w:rsid w:val="005C50CD"/>
    <w:pPr>
      <w:spacing w:before="240"/>
      <w:ind w:left="284"/>
    </w:pPr>
  </w:style>
  <w:style w:type="paragraph" w:styleId="Subtitle">
    <w:name w:val="Subtitle"/>
    <w:basedOn w:val="Normal"/>
    <w:next w:val="Normal"/>
    <w:link w:val="SubtitleChar"/>
    <w:uiPriority w:val="99"/>
    <w:semiHidden/>
    <w:qFormat/>
    <w:rsid w:val="005C50CD"/>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99"/>
    <w:semiHidden/>
    <w:locked/>
    <w:rsid w:val="005C50CD"/>
    <w:rPr>
      <w:rFonts w:asciiTheme="majorHAnsi" w:eastAsiaTheme="majorEastAsia" w:hAnsiTheme="majorHAnsi" w:cs="Times New Roman"/>
      <w:i/>
      <w:iCs/>
      <w:spacing w:val="13"/>
      <w:sz w:val="24"/>
      <w:szCs w:val="24"/>
    </w:rPr>
  </w:style>
  <w:style w:type="paragraph" w:styleId="Bibliography">
    <w:name w:val="Bibliography"/>
    <w:basedOn w:val="Normal"/>
    <w:next w:val="Normal"/>
    <w:uiPriority w:val="99"/>
    <w:semiHidden/>
    <w:unhideWhenUsed/>
    <w:rsid w:val="00E77CB3"/>
  </w:style>
  <w:style w:type="paragraph" w:styleId="BlockText">
    <w:name w:val="Block Text"/>
    <w:basedOn w:val="Normal"/>
    <w:uiPriority w:val="99"/>
    <w:semiHidden/>
    <w:rsid w:val="00E77CB3"/>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E77CB3"/>
    <w:pPr>
      <w:spacing w:after="120"/>
    </w:pPr>
  </w:style>
  <w:style w:type="character" w:customStyle="1" w:styleId="BodyTextChar">
    <w:name w:val="Body Text Char"/>
    <w:basedOn w:val="DefaultParagraphFont"/>
    <w:link w:val="BodyText"/>
    <w:uiPriority w:val="99"/>
    <w:semiHidden/>
    <w:locked/>
    <w:rsid w:val="00E77CB3"/>
    <w:rPr>
      <w:rFonts w:eastAsiaTheme="minorEastAsia" w:cs="Times New Roman"/>
      <w:sz w:val="24"/>
    </w:rPr>
  </w:style>
  <w:style w:type="paragraph" w:styleId="BodyText2">
    <w:name w:val="Body Text 2"/>
    <w:basedOn w:val="Normal"/>
    <w:link w:val="BodyText2Char"/>
    <w:uiPriority w:val="99"/>
    <w:semiHidden/>
    <w:rsid w:val="00E77CB3"/>
    <w:pPr>
      <w:spacing w:after="120" w:line="480" w:lineRule="auto"/>
    </w:pPr>
  </w:style>
  <w:style w:type="character" w:customStyle="1" w:styleId="BodyText2Char">
    <w:name w:val="Body Text 2 Char"/>
    <w:basedOn w:val="DefaultParagraphFont"/>
    <w:link w:val="BodyText2"/>
    <w:uiPriority w:val="99"/>
    <w:semiHidden/>
    <w:locked/>
    <w:rsid w:val="00E77CB3"/>
    <w:rPr>
      <w:rFonts w:eastAsiaTheme="minorEastAsia" w:cs="Times New Roman"/>
      <w:sz w:val="24"/>
    </w:rPr>
  </w:style>
  <w:style w:type="paragraph" w:styleId="BodyText3">
    <w:name w:val="Body Text 3"/>
    <w:basedOn w:val="Normal"/>
    <w:link w:val="BodyText3Char"/>
    <w:uiPriority w:val="99"/>
    <w:semiHidden/>
    <w:rsid w:val="00E77CB3"/>
    <w:pPr>
      <w:spacing w:after="120"/>
    </w:pPr>
    <w:rPr>
      <w:sz w:val="16"/>
      <w:szCs w:val="16"/>
    </w:rPr>
  </w:style>
  <w:style w:type="character" w:customStyle="1" w:styleId="BodyText3Char">
    <w:name w:val="Body Text 3 Char"/>
    <w:basedOn w:val="DefaultParagraphFont"/>
    <w:link w:val="BodyText3"/>
    <w:uiPriority w:val="99"/>
    <w:semiHidden/>
    <w:locked/>
    <w:rsid w:val="00E77CB3"/>
    <w:rPr>
      <w:rFonts w:eastAsiaTheme="minorEastAsia" w:cs="Times New Roman"/>
      <w:sz w:val="16"/>
      <w:szCs w:val="16"/>
    </w:rPr>
  </w:style>
  <w:style w:type="paragraph" w:styleId="BodyTextFirstIndent">
    <w:name w:val="Body Text First Indent"/>
    <w:basedOn w:val="BodyText"/>
    <w:link w:val="BodyTextFirstIndentChar"/>
    <w:uiPriority w:val="99"/>
    <w:semiHidden/>
    <w:rsid w:val="00E77CB3"/>
    <w:pPr>
      <w:spacing w:after="0"/>
      <w:ind w:firstLine="360"/>
    </w:pPr>
  </w:style>
  <w:style w:type="character" w:customStyle="1" w:styleId="BodyTextFirstIndentChar">
    <w:name w:val="Body Text First Indent Char"/>
    <w:basedOn w:val="BodyTextChar"/>
    <w:link w:val="BodyTextFirstIndent"/>
    <w:uiPriority w:val="99"/>
    <w:semiHidden/>
    <w:locked/>
    <w:rsid w:val="00E77CB3"/>
    <w:rPr>
      <w:rFonts w:eastAsiaTheme="minorEastAsia" w:cs="Times New Roman"/>
      <w:sz w:val="24"/>
    </w:rPr>
  </w:style>
  <w:style w:type="paragraph" w:styleId="BodyTextIndent">
    <w:name w:val="Body Text Indent"/>
    <w:basedOn w:val="Normal"/>
    <w:link w:val="BodyTextIndentChar"/>
    <w:uiPriority w:val="99"/>
    <w:semiHidden/>
    <w:rsid w:val="00E77CB3"/>
    <w:pPr>
      <w:spacing w:after="120"/>
      <w:ind w:left="283"/>
    </w:pPr>
  </w:style>
  <w:style w:type="character" w:customStyle="1" w:styleId="BodyTextIndentChar">
    <w:name w:val="Body Text Indent Char"/>
    <w:basedOn w:val="DefaultParagraphFont"/>
    <w:link w:val="BodyTextIndent"/>
    <w:uiPriority w:val="99"/>
    <w:semiHidden/>
    <w:locked/>
    <w:rsid w:val="00E77CB3"/>
    <w:rPr>
      <w:rFonts w:eastAsiaTheme="minorEastAsia" w:cs="Times New Roman"/>
      <w:sz w:val="24"/>
    </w:rPr>
  </w:style>
  <w:style w:type="paragraph" w:styleId="BodyTextFirstIndent2">
    <w:name w:val="Body Text First Indent 2"/>
    <w:basedOn w:val="BodyTextIndent"/>
    <w:link w:val="BodyTextFirstIndent2Char"/>
    <w:uiPriority w:val="99"/>
    <w:semiHidden/>
    <w:rsid w:val="00E77CB3"/>
    <w:pPr>
      <w:spacing w:after="0"/>
      <w:ind w:left="360" w:firstLine="360"/>
    </w:pPr>
  </w:style>
  <w:style w:type="character" w:customStyle="1" w:styleId="BodyTextFirstIndent2Char">
    <w:name w:val="Body Text First Indent 2 Char"/>
    <w:basedOn w:val="BodyTextIndentChar"/>
    <w:link w:val="BodyTextFirstIndent2"/>
    <w:uiPriority w:val="99"/>
    <w:semiHidden/>
    <w:locked/>
    <w:rsid w:val="00E77CB3"/>
    <w:rPr>
      <w:rFonts w:eastAsiaTheme="minorEastAsia" w:cs="Times New Roman"/>
      <w:sz w:val="24"/>
    </w:rPr>
  </w:style>
  <w:style w:type="paragraph" w:styleId="BodyTextIndent2">
    <w:name w:val="Body Text Indent 2"/>
    <w:basedOn w:val="Normal"/>
    <w:link w:val="BodyTextIndent2Char"/>
    <w:uiPriority w:val="99"/>
    <w:semiHidden/>
    <w:rsid w:val="00E77CB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77CB3"/>
    <w:rPr>
      <w:rFonts w:eastAsiaTheme="minorEastAsia" w:cs="Times New Roman"/>
      <w:sz w:val="24"/>
    </w:rPr>
  </w:style>
  <w:style w:type="paragraph" w:styleId="BodyTextIndent3">
    <w:name w:val="Body Text Indent 3"/>
    <w:basedOn w:val="Normal"/>
    <w:link w:val="BodyTextIndent3Char"/>
    <w:uiPriority w:val="99"/>
    <w:semiHidden/>
    <w:rsid w:val="00E77CB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E77CB3"/>
    <w:rPr>
      <w:rFonts w:eastAsiaTheme="minorEastAsia" w:cs="Times New Roman"/>
      <w:sz w:val="16"/>
      <w:szCs w:val="16"/>
    </w:rPr>
  </w:style>
  <w:style w:type="paragraph" w:styleId="Caption">
    <w:name w:val="caption"/>
    <w:basedOn w:val="Normal"/>
    <w:next w:val="Normal"/>
    <w:uiPriority w:val="99"/>
    <w:semiHidden/>
    <w:qFormat/>
    <w:rsid w:val="00E77CB3"/>
    <w:pPr>
      <w:spacing w:after="200"/>
    </w:pPr>
    <w:rPr>
      <w:b/>
      <w:bCs/>
      <w:color w:val="0072BC" w:themeColor="accent1"/>
      <w:sz w:val="18"/>
      <w:szCs w:val="18"/>
    </w:rPr>
  </w:style>
  <w:style w:type="paragraph" w:styleId="Closing">
    <w:name w:val="Closing"/>
    <w:basedOn w:val="Normal"/>
    <w:link w:val="ClosingChar"/>
    <w:uiPriority w:val="99"/>
    <w:semiHidden/>
    <w:rsid w:val="00E77CB3"/>
    <w:pPr>
      <w:ind w:left="4252"/>
    </w:pPr>
  </w:style>
  <w:style w:type="character" w:customStyle="1" w:styleId="ClosingChar">
    <w:name w:val="Closing Char"/>
    <w:basedOn w:val="DefaultParagraphFont"/>
    <w:link w:val="Closing"/>
    <w:uiPriority w:val="99"/>
    <w:semiHidden/>
    <w:locked/>
    <w:rsid w:val="00E77CB3"/>
    <w:rPr>
      <w:rFonts w:eastAsiaTheme="minorEastAsia" w:cs="Times New Roman"/>
      <w:sz w:val="24"/>
    </w:rPr>
  </w:style>
  <w:style w:type="table" w:styleId="ColorfulGrid">
    <w:name w:val="Colorful Grid"/>
    <w:basedOn w:val="TableNormal"/>
    <w:uiPriority w:val="99"/>
    <w:semiHidden/>
    <w:rsid w:val="00E77CB3"/>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0072BC" w:themeColor="background1"/>
      </w:rPr>
      <w:tblPr/>
      <w:tcPr>
        <w:shd w:val="clear" w:color="auto" w:fill="000000" w:themeFill="text1" w:themeFillShade="BF"/>
      </w:tcPr>
    </w:tblStylePr>
    <w:tblStylePr w:type="lastCol">
      <w:rPr>
        <w:rFonts w:cs="Times New Roman"/>
        <w:color w:val="0072BC"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99"/>
    <w:semiHidden/>
    <w:rsid w:val="00E77CB3"/>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rFonts w:cs="Times New Roman"/>
        <w:b/>
        <w:bCs/>
      </w:rPr>
      <w:tblPr/>
      <w:tcPr>
        <w:shd w:val="clear" w:color="auto" w:fill="7ECBFF" w:themeFill="accent1" w:themeFillTint="66"/>
      </w:tcPr>
    </w:tblStylePr>
    <w:tblStylePr w:type="lastRow">
      <w:rPr>
        <w:rFonts w:cs="Times New Roman"/>
        <w:b/>
        <w:bCs/>
        <w:color w:val="000000" w:themeColor="text1"/>
      </w:rPr>
      <w:tblPr/>
      <w:tcPr>
        <w:shd w:val="clear" w:color="auto" w:fill="7ECBFF" w:themeFill="accent1" w:themeFillTint="66"/>
      </w:tcPr>
    </w:tblStylePr>
    <w:tblStylePr w:type="firstCol">
      <w:rPr>
        <w:rFonts w:cs="Times New Roman"/>
        <w:color w:val="0072BC" w:themeColor="background1"/>
      </w:rPr>
      <w:tblPr/>
      <w:tcPr>
        <w:shd w:val="clear" w:color="auto" w:fill="00548C" w:themeFill="accent1" w:themeFillShade="BF"/>
      </w:tcPr>
    </w:tblStylePr>
    <w:tblStylePr w:type="lastCol">
      <w:rPr>
        <w:rFonts w:cs="Times New Roman"/>
        <w:color w:val="0072BC" w:themeColor="background1"/>
      </w:rPr>
      <w:tblPr/>
      <w:tcPr>
        <w:shd w:val="clear" w:color="auto" w:fill="00548C" w:themeFill="accent1" w:themeFillShade="BF"/>
      </w:tcPr>
    </w:tblStylePr>
    <w:tblStylePr w:type="band1Vert">
      <w:rPr>
        <w:rFonts w:cs="Times New Roman"/>
      </w:rPr>
      <w:tblPr/>
      <w:tcPr>
        <w:shd w:val="clear" w:color="auto" w:fill="5EBFFF" w:themeFill="accent1" w:themeFillTint="7F"/>
      </w:tcPr>
    </w:tblStylePr>
    <w:tblStylePr w:type="band1Horz">
      <w:rPr>
        <w:rFonts w:cs="Times New Roman"/>
      </w:rPr>
      <w:tblPr/>
      <w:tcPr>
        <w:shd w:val="clear" w:color="auto" w:fill="5EBFFF" w:themeFill="accent1" w:themeFillTint="7F"/>
      </w:tcPr>
    </w:tblStylePr>
  </w:style>
  <w:style w:type="table" w:styleId="ColorfulGrid-Accent2">
    <w:name w:val="Colorful Grid Accent 2"/>
    <w:basedOn w:val="TableNormal"/>
    <w:uiPriority w:val="99"/>
    <w:semiHidden/>
    <w:rsid w:val="00E77CB3"/>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rFonts w:cs="Times New Roman"/>
        <w:b/>
        <w:bCs/>
      </w:rPr>
      <w:tblPr/>
      <w:tcPr>
        <w:shd w:val="clear" w:color="auto" w:fill="FF7F7F" w:themeFill="accent2" w:themeFillTint="66"/>
      </w:tcPr>
    </w:tblStylePr>
    <w:tblStylePr w:type="lastRow">
      <w:rPr>
        <w:rFonts w:cs="Times New Roman"/>
        <w:b/>
        <w:bCs/>
        <w:color w:val="000000" w:themeColor="text1"/>
      </w:rPr>
      <w:tblPr/>
      <w:tcPr>
        <w:shd w:val="clear" w:color="auto" w:fill="FF7F7F" w:themeFill="accent2" w:themeFillTint="66"/>
      </w:tcPr>
    </w:tblStylePr>
    <w:tblStylePr w:type="firstCol">
      <w:rPr>
        <w:rFonts w:cs="Times New Roman"/>
        <w:color w:val="0072BC" w:themeColor="background1"/>
      </w:rPr>
      <w:tblPr/>
      <w:tcPr>
        <w:shd w:val="clear" w:color="auto" w:fill="8F0000" w:themeFill="accent2" w:themeFillShade="BF"/>
      </w:tcPr>
    </w:tblStylePr>
    <w:tblStylePr w:type="lastCol">
      <w:rPr>
        <w:rFonts w:cs="Times New Roman"/>
        <w:color w:val="0072BC" w:themeColor="background1"/>
      </w:rPr>
      <w:tblPr/>
      <w:tcPr>
        <w:shd w:val="clear" w:color="auto" w:fill="8F0000" w:themeFill="accent2" w:themeFillShade="BF"/>
      </w:tcPr>
    </w:tblStylePr>
    <w:tblStylePr w:type="band1Vert">
      <w:rPr>
        <w:rFonts w:cs="Times New Roman"/>
      </w:rPr>
      <w:tblPr/>
      <w:tcPr>
        <w:shd w:val="clear" w:color="auto" w:fill="FF6060" w:themeFill="accent2" w:themeFillTint="7F"/>
      </w:tcPr>
    </w:tblStylePr>
    <w:tblStylePr w:type="band1Horz">
      <w:rPr>
        <w:rFonts w:cs="Times New Roman"/>
      </w:rPr>
      <w:tblPr/>
      <w:tcPr>
        <w:shd w:val="clear" w:color="auto" w:fill="FF6060" w:themeFill="accent2" w:themeFillTint="7F"/>
      </w:tcPr>
    </w:tblStylePr>
  </w:style>
  <w:style w:type="table" w:styleId="ColorfulGrid-Accent3">
    <w:name w:val="Colorful Grid Accent 3"/>
    <w:basedOn w:val="TableNormal"/>
    <w:uiPriority w:val="99"/>
    <w:semiHidden/>
    <w:rsid w:val="00E77CB3"/>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rFonts w:cs="Times New Roman"/>
        <w:b/>
        <w:bCs/>
      </w:rPr>
      <w:tblPr/>
      <w:tcPr>
        <w:shd w:val="clear" w:color="auto" w:fill="BFBFBF" w:themeFill="accent3" w:themeFillTint="66"/>
      </w:tcPr>
    </w:tblStylePr>
    <w:tblStylePr w:type="lastRow">
      <w:rPr>
        <w:rFonts w:cs="Times New Roman"/>
        <w:b/>
        <w:bCs/>
        <w:color w:val="000000" w:themeColor="text1"/>
      </w:rPr>
      <w:tblPr/>
      <w:tcPr>
        <w:shd w:val="clear" w:color="auto" w:fill="BFBFBF" w:themeFill="accent3" w:themeFillTint="66"/>
      </w:tcPr>
    </w:tblStylePr>
    <w:tblStylePr w:type="firstCol">
      <w:rPr>
        <w:rFonts w:cs="Times New Roman"/>
        <w:color w:val="0072BC" w:themeColor="background1"/>
      </w:rPr>
      <w:tblPr/>
      <w:tcPr>
        <w:shd w:val="clear" w:color="auto" w:fill="474747" w:themeFill="accent3" w:themeFillShade="BF"/>
      </w:tcPr>
    </w:tblStylePr>
    <w:tblStylePr w:type="lastCol">
      <w:rPr>
        <w:rFonts w:cs="Times New Roman"/>
        <w:color w:val="0072BC" w:themeColor="background1"/>
      </w:rPr>
      <w:tblPr/>
      <w:tcPr>
        <w:shd w:val="clear" w:color="auto" w:fill="474747" w:themeFill="accent3" w:themeFillShade="BF"/>
      </w:tcPr>
    </w:tblStylePr>
    <w:tblStylePr w:type="band1Vert">
      <w:rPr>
        <w:rFonts w:cs="Times New Roman"/>
      </w:rPr>
      <w:tblPr/>
      <w:tcPr>
        <w:shd w:val="clear" w:color="auto" w:fill="AFAFAF" w:themeFill="accent3" w:themeFillTint="7F"/>
      </w:tcPr>
    </w:tblStylePr>
    <w:tblStylePr w:type="band1Horz">
      <w:rPr>
        <w:rFonts w:cs="Times New Roman"/>
      </w:rPr>
      <w:tblPr/>
      <w:tcPr>
        <w:shd w:val="clear" w:color="auto" w:fill="AFAFAF" w:themeFill="accent3" w:themeFillTint="7F"/>
      </w:tcPr>
    </w:tblStylePr>
  </w:style>
  <w:style w:type="table" w:styleId="ColorfulGrid-Accent4">
    <w:name w:val="Colorful Grid Accent 4"/>
    <w:basedOn w:val="TableNormal"/>
    <w:uiPriority w:val="99"/>
    <w:semiHidden/>
    <w:rsid w:val="00E77CB3"/>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rFonts w:cs="Times New Roman"/>
        <w:b/>
        <w:bCs/>
      </w:rPr>
      <w:tblPr/>
      <w:tcPr>
        <w:shd w:val="clear" w:color="auto" w:fill="D5D5D5" w:themeFill="accent4" w:themeFillTint="66"/>
      </w:tcPr>
    </w:tblStylePr>
    <w:tblStylePr w:type="lastRow">
      <w:rPr>
        <w:rFonts w:cs="Times New Roman"/>
        <w:b/>
        <w:bCs/>
        <w:color w:val="000000" w:themeColor="text1"/>
      </w:rPr>
      <w:tblPr/>
      <w:tcPr>
        <w:shd w:val="clear" w:color="auto" w:fill="D5D5D5" w:themeFill="accent4" w:themeFillTint="66"/>
      </w:tcPr>
    </w:tblStylePr>
    <w:tblStylePr w:type="firstCol">
      <w:rPr>
        <w:rFonts w:cs="Times New Roman"/>
        <w:color w:val="0072BC" w:themeColor="background1"/>
      </w:rPr>
      <w:tblPr/>
      <w:tcPr>
        <w:shd w:val="clear" w:color="auto" w:fill="707070" w:themeFill="accent4" w:themeFillShade="BF"/>
      </w:tcPr>
    </w:tblStylePr>
    <w:tblStylePr w:type="lastCol">
      <w:rPr>
        <w:rFonts w:cs="Times New Roman"/>
        <w:color w:val="0072BC" w:themeColor="background1"/>
      </w:rPr>
      <w:tblPr/>
      <w:tcPr>
        <w:shd w:val="clear" w:color="auto" w:fill="707070" w:themeFill="accent4" w:themeFillShade="BF"/>
      </w:tcPr>
    </w:tblStylePr>
    <w:tblStylePr w:type="band1Vert">
      <w:rPr>
        <w:rFonts w:cs="Times New Roman"/>
      </w:rPr>
      <w:tblPr/>
      <w:tcPr>
        <w:shd w:val="clear" w:color="auto" w:fill="CACACA" w:themeFill="accent4" w:themeFillTint="7F"/>
      </w:tcPr>
    </w:tblStylePr>
    <w:tblStylePr w:type="band1Horz">
      <w:rPr>
        <w:rFonts w:cs="Times New Roman"/>
      </w:rPr>
      <w:tblPr/>
      <w:tcPr>
        <w:shd w:val="clear" w:color="auto" w:fill="CACACA" w:themeFill="accent4" w:themeFillTint="7F"/>
      </w:tcPr>
    </w:tblStylePr>
  </w:style>
  <w:style w:type="table" w:styleId="ColorfulGrid-Accent5">
    <w:name w:val="Colorful Grid Accent 5"/>
    <w:basedOn w:val="TableNormal"/>
    <w:uiPriority w:val="99"/>
    <w:semiHidden/>
    <w:rsid w:val="00E77CB3"/>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rFonts w:cs="Times New Roman"/>
        <w:b/>
        <w:bCs/>
      </w:rPr>
      <w:tblPr/>
      <w:tcPr>
        <w:shd w:val="clear" w:color="auto" w:fill="BFBFBF" w:themeFill="accent5" w:themeFillTint="66"/>
      </w:tcPr>
    </w:tblStylePr>
    <w:tblStylePr w:type="lastRow">
      <w:rPr>
        <w:rFonts w:cs="Times New Roman"/>
        <w:b/>
        <w:bCs/>
        <w:color w:val="000000" w:themeColor="text1"/>
      </w:rPr>
      <w:tblPr/>
      <w:tcPr>
        <w:shd w:val="clear" w:color="auto" w:fill="BFBFBF" w:themeFill="accent5" w:themeFillTint="66"/>
      </w:tcPr>
    </w:tblStylePr>
    <w:tblStylePr w:type="firstCol">
      <w:rPr>
        <w:rFonts w:cs="Times New Roman"/>
        <w:color w:val="0072BC" w:themeColor="background1"/>
      </w:rPr>
      <w:tblPr/>
      <w:tcPr>
        <w:shd w:val="clear" w:color="auto" w:fill="474747" w:themeFill="accent5" w:themeFillShade="BF"/>
      </w:tcPr>
    </w:tblStylePr>
    <w:tblStylePr w:type="lastCol">
      <w:rPr>
        <w:rFonts w:cs="Times New Roman"/>
        <w:color w:val="0072BC" w:themeColor="background1"/>
      </w:rPr>
      <w:tblPr/>
      <w:tcPr>
        <w:shd w:val="clear" w:color="auto" w:fill="474747" w:themeFill="accent5" w:themeFillShade="BF"/>
      </w:tcPr>
    </w:tblStylePr>
    <w:tblStylePr w:type="band1Vert">
      <w:rPr>
        <w:rFonts w:cs="Times New Roman"/>
      </w:rPr>
      <w:tblPr/>
      <w:tcPr>
        <w:shd w:val="clear" w:color="auto" w:fill="AFAFAF" w:themeFill="accent5" w:themeFillTint="7F"/>
      </w:tcPr>
    </w:tblStylePr>
    <w:tblStylePr w:type="band1Horz">
      <w:rPr>
        <w:rFonts w:cs="Times New Roman"/>
      </w:rPr>
      <w:tblPr/>
      <w:tcPr>
        <w:shd w:val="clear" w:color="auto" w:fill="AFAFAF" w:themeFill="accent5" w:themeFillTint="7F"/>
      </w:tcPr>
    </w:tblStylePr>
  </w:style>
  <w:style w:type="table" w:styleId="ColorfulGrid-Accent6">
    <w:name w:val="Colorful Grid Accent 6"/>
    <w:basedOn w:val="TableNormal"/>
    <w:uiPriority w:val="99"/>
    <w:semiHidden/>
    <w:rsid w:val="00E77CB3"/>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rFonts w:cs="Times New Roman"/>
        <w:b/>
        <w:bCs/>
      </w:rPr>
      <w:tblPr/>
      <w:tcPr>
        <w:shd w:val="clear" w:color="auto" w:fill="B7B7B7" w:themeFill="accent6" w:themeFillTint="66"/>
      </w:tcPr>
    </w:tblStylePr>
    <w:tblStylePr w:type="lastRow">
      <w:rPr>
        <w:rFonts w:cs="Times New Roman"/>
        <w:b/>
        <w:bCs/>
        <w:color w:val="000000" w:themeColor="text1"/>
      </w:rPr>
      <w:tblPr/>
      <w:tcPr>
        <w:shd w:val="clear" w:color="auto" w:fill="B7B7B7" w:themeFill="accent6" w:themeFillTint="66"/>
      </w:tcPr>
    </w:tblStylePr>
    <w:tblStylePr w:type="firstCol">
      <w:rPr>
        <w:rFonts w:cs="Times New Roman"/>
        <w:color w:val="0072BC" w:themeColor="background1"/>
      </w:rPr>
      <w:tblPr/>
      <w:tcPr>
        <w:shd w:val="clear" w:color="auto" w:fill="393939" w:themeFill="accent6" w:themeFillShade="BF"/>
      </w:tcPr>
    </w:tblStylePr>
    <w:tblStylePr w:type="lastCol">
      <w:rPr>
        <w:rFonts w:cs="Times New Roman"/>
        <w:color w:val="0072BC" w:themeColor="background1"/>
      </w:rPr>
      <w:tblPr/>
      <w:tcPr>
        <w:shd w:val="clear" w:color="auto" w:fill="393939" w:themeFill="accent6" w:themeFillShade="BF"/>
      </w:tcPr>
    </w:tblStylePr>
    <w:tblStylePr w:type="band1Vert">
      <w:rPr>
        <w:rFonts w:cs="Times New Roman"/>
      </w:rPr>
      <w:tblPr/>
      <w:tcPr>
        <w:shd w:val="clear" w:color="auto" w:fill="A6A6A6" w:themeFill="accent6" w:themeFillTint="7F"/>
      </w:tcPr>
    </w:tblStylePr>
    <w:tblStylePr w:type="band1Horz">
      <w:rPr>
        <w:rFonts w:cs="Times New Roman"/>
      </w:rPr>
      <w:tblPr/>
      <w:tcPr>
        <w:shd w:val="clear" w:color="auto" w:fill="A6A6A6" w:themeFill="accent6" w:themeFillTint="7F"/>
      </w:tcPr>
    </w:tblStylePr>
  </w:style>
  <w:style w:type="table" w:styleId="ColorfulList">
    <w:name w:val="Colorful List"/>
    <w:basedOn w:val="TableNormal"/>
    <w:uiPriority w:val="99"/>
    <w:semiHidden/>
    <w:rsid w:val="00E77CB3"/>
    <w:rPr>
      <w:rFonts w:cs="Times New Roman"/>
      <w:color w:val="000000" w:themeColor="text1"/>
      <w:lang w:val="fr-FR" w:eastAsia="fr-FR"/>
    </w:rPr>
    <w:tblPr>
      <w:tblStyleRowBandSize w:val="1"/>
      <w:tblStyleColBandSize w:val="1"/>
    </w:tblPr>
    <w:tcPr>
      <w:shd w:val="clear" w:color="auto" w:fill="E6E6E6" w:themeFill="text1" w:themeFillTint="19"/>
    </w:tcPr>
    <w:tblStylePr w:type="firstRow">
      <w:rPr>
        <w:rFonts w:cs="Times New Roman"/>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rFonts w:cs="Times New Roman"/>
        <w:b/>
        <w:bCs/>
        <w:color w:val="990000" w:themeColor="accent2"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99"/>
    <w:semiHidden/>
    <w:rsid w:val="00E77CB3"/>
    <w:rPr>
      <w:rFonts w:cs="Times New Roman"/>
      <w:color w:val="000000" w:themeColor="text1"/>
      <w:lang w:val="fr-FR" w:eastAsia="fr-FR"/>
    </w:rPr>
    <w:tblPr>
      <w:tblStyleRowBandSize w:val="1"/>
      <w:tblStyleColBandSize w:val="1"/>
    </w:tblPr>
    <w:tcPr>
      <w:shd w:val="clear" w:color="auto" w:fill="DFF2FF" w:themeFill="accent1" w:themeFillTint="19"/>
    </w:tcPr>
    <w:tblStylePr w:type="firstRow">
      <w:rPr>
        <w:rFonts w:cs="Times New Roman"/>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rFonts w:cs="Times New Roman"/>
        <w:b/>
        <w:bCs/>
        <w:color w:val="990000" w:themeColor="accent2"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hemeFill="accent1" w:themeFillTint="3F"/>
      </w:tcPr>
    </w:tblStylePr>
    <w:tblStylePr w:type="band1Horz">
      <w:rPr>
        <w:rFonts w:cs="Times New Roman"/>
      </w:rPr>
      <w:tblPr/>
      <w:tcPr>
        <w:shd w:val="clear" w:color="auto" w:fill="BEE5FF" w:themeFill="accent1" w:themeFillTint="33"/>
      </w:tcPr>
    </w:tblStylePr>
  </w:style>
  <w:style w:type="table" w:styleId="ColorfulList-Accent2">
    <w:name w:val="Colorful List Accent 2"/>
    <w:basedOn w:val="TableNormal"/>
    <w:uiPriority w:val="99"/>
    <w:semiHidden/>
    <w:rsid w:val="00E77CB3"/>
    <w:rPr>
      <w:rFonts w:cs="Times New Roman"/>
      <w:color w:val="000000" w:themeColor="text1"/>
      <w:lang w:val="fr-FR" w:eastAsia="fr-FR"/>
    </w:rPr>
    <w:tblPr>
      <w:tblStyleRowBandSize w:val="1"/>
      <w:tblStyleColBandSize w:val="1"/>
    </w:tblPr>
    <w:tcPr>
      <w:shd w:val="clear" w:color="auto" w:fill="FFDFDF" w:themeFill="accent2" w:themeFillTint="19"/>
    </w:tcPr>
    <w:tblStylePr w:type="firstRow">
      <w:rPr>
        <w:rFonts w:cs="Times New Roman"/>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rFonts w:cs="Times New Roman"/>
        <w:b/>
        <w:bCs/>
        <w:color w:val="990000" w:themeColor="accent2"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hemeFill="accent2" w:themeFillTint="3F"/>
      </w:tcPr>
    </w:tblStylePr>
    <w:tblStylePr w:type="band1Horz">
      <w:rPr>
        <w:rFonts w:cs="Times New Roman"/>
      </w:rPr>
      <w:tblPr/>
      <w:tcPr>
        <w:shd w:val="clear" w:color="auto" w:fill="FFBFBF" w:themeFill="accent2" w:themeFillTint="33"/>
      </w:tcPr>
    </w:tblStylePr>
  </w:style>
  <w:style w:type="table" w:styleId="ColorfulList-Accent3">
    <w:name w:val="Colorful List Accent 3"/>
    <w:basedOn w:val="TableNormal"/>
    <w:uiPriority w:val="99"/>
    <w:semiHidden/>
    <w:rsid w:val="00E77CB3"/>
    <w:rPr>
      <w:rFonts w:cs="Times New Roman"/>
      <w:color w:val="000000" w:themeColor="text1"/>
      <w:lang w:val="fr-FR" w:eastAsia="fr-FR"/>
    </w:rPr>
    <w:tblPr>
      <w:tblStyleRowBandSize w:val="1"/>
      <w:tblStyleColBandSize w:val="1"/>
    </w:tblPr>
    <w:tcPr>
      <w:shd w:val="clear" w:color="auto" w:fill="EFEFEF" w:themeFill="accent3" w:themeFillTint="19"/>
    </w:tcPr>
    <w:tblStylePr w:type="firstRow">
      <w:rPr>
        <w:rFonts w:cs="Times New Roman"/>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rFonts w:cs="Times New Roman"/>
        <w:b/>
        <w:bCs/>
        <w:color w:val="787878" w:themeColor="accent4"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hemeFill="accent3" w:themeFillTint="3F"/>
      </w:tcPr>
    </w:tblStylePr>
    <w:tblStylePr w:type="band1Horz">
      <w:rPr>
        <w:rFonts w:cs="Times New Roman"/>
      </w:rPr>
      <w:tblPr/>
      <w:tcPr>
        <w:shd w:val="clear" w:color="auto" w:fill="DFDFDF" w:themeFill="accent3" w:themeFillTint="33"/>
      </w:tcPr>
    </w:tblStylePr>
  </w:style>
  <w:style w:type="table" w:styleId="ColorfulList-Accent4">
    <w:name w:val="Colorful List Accent 4"/>
    <w:basedOn w:val="TableNormal"/>
    <w:uiPriority w:val="99"/>
    <w:semiHidden/>
    <w:rsid w:val="00E77CB3"/>
    <w:rPr>
      <w:rFonts w:cs="Times New Roman"/>
      <w:color w:val="000000" w:themeColor="text1"/>
      <w:lang w:val="fr-FR" w:eastAsia="fr-FR"/>
    </w:rPr>
    <w:tblPr>
      <w:tblStyleRowBandSize w:val="1"/>
      <w:tblStyleColBandSize w:val="1"/>
    </w:tblPr>
    <w:tcPr>
      <w:shd w:val="clear" w:color="auto" w:fill="F4F4F4" w:themeFill="accent4" w:themeFillTint="19"/>
    </w:tcPr>
    <w:tblStylePr w:type="firstRow">
      <w:rPr>
        <w:rFonts w:cs="Times New Roman"/>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rFonts w:cs="Times New Roman"/>
        <w:b/>
        <w:bCs/>
        <w:color w:val="4C4C4C" w:themeColor="accent3"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hemeFill="accent4" w:themeFillTint="3F"/>
      </w:tcPr>
    </w:tblStylePr>
    <w:tblStylePr w:type="band1Horz">
      <w:rPr>
        <w:rFonts w:cs="Times New Roman"/>
      </w:rPr>
      <w:tblPr/>
      <w:tcPr>
        <w:shd w:val="clear" w:color="auto" w:fill="EAEAEA" w:themeFill="accent4" w:themeFillTint="33"/>
      </w:tcPr>
    </w:tblStylePr>
  </w:style>
  <w:style w:type="table" w:styleId="ColorfulList-Accent5">
    <w:name w:val="Colorful List Accent 5"/>
    <w:basedOn w:val="TableNormal"/>
    <w:uiPriority w:val="99"/>
    <w:semiHidden/>
    <w:rsid w:val="00E77CB3"/>
    <w:rPr>
      <w:rFonts w:cs="Times New Roman"/>
      <w:color w:val="000000" w:themeColor="text1"/>
      <w:lang w:val="fr-FR" w:eastAsia="fr-FR"/>
    </w:rPr>
    <w:tblPr>
      <w:tblStyleRowBandSize w:val="1"/>
      <w:tblStyleColBandSize w:val="1"/>
    </w:tblPr>
    <w:tcPr>
      <w:shd w:val="clear" w:color="auto" w:fill="EFEFEF" w:themeFill="accent5" w:themeFillTint="19"/>
    </w:tcPr>
    <w:tblStylePr w:type="firstRow">
      <w:rPr>
        <w:rFonts w:cs="Times New Roman"/>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rFonts w:cs="Times New Roman"/>
        <w:b/>
        <w:bCs/>
        <w:color w:val="3D3D3D" w:themeColor="accent6"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hemeFill="accent5" w:themeFillTint="3F"/>
      </w:tcPr>
    </w:tblStylePr>
    <w:tblStylePr w:type="band1Horz">
      <w:rPr>
        <w:rFonts w:cs="Times New Roman"/>
      </w:rPr>
      <w:tblPr/>
      <w:tcPr>
        <w:shd w:val="clear" w:color="auto" w:fill="DFDFDF" w:themeFill="accent5" w:themeFillTint="33"/>
      </w:tcPr>
    </w:tblStylePr>
  </w:style>
  <w:style w:type="table" w:styleId="ColorfulList-Accent6">
    <w:name w:val="Colorful List Accent 6"/>
    <w:basedOn w:val="TableNormal"/>
    <w:uiPriority w:val="99"/>
    <w:semiHidden/>
    <w:rsid w:val="00E77CB3"/>
    <w:rPr>
      <w:rFonts w:cs="Times New Roman"/>
      <w:color w:val="000000" w:themeColor="text1"/>
      <w:lang w:val="fr-FR" w:eastAsia="fr-FR"/>
    </w:rPr>
    <w:tblPr>
      <w:tblStyleRowBandSize w:val="1"/>
      <w:tblStyleColBandSize w:val="1"/>
    </w:tblPr>
    <w:tcPr>
      <w:shd w:val="clear" w:color="auto" w:fill="EDEDED" w:themeFill="accent6" w:themeFillTint="19"/>
    </w:tcPr>
    <w:tblStylePr w:type="firstRow">
      <w:rPr>
        <w:rFonts w:cs="Times New Roman"/>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rFonts w:cs="Times New Roman"/>
        <w:b/>
        <w:bCs/>
        <w:color w:val="4C4C4C" w:themeColor="accent5"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hemeFill="accent6" w:themeFillTint="3F"/>
      </w:tcPr>
    </w:tblStylePr>
    <w:tblStylePr w:type="band1Horz">
      <w:rPr>
        <w:rFonts w:cs="Times New Roman"/>
      </w:rPr>
      <w:tblPr/>
      <w:tcPr>
        <w:shd w:val="clear" w:color="auto" w:fill="DBDBDB" w:themeFill="accent6" w:themeFillTint="33"/>
      </w:tcPr>
    </w:tblStylePr>
  </w:style>
  <w:style w:type="table" w:styleId="ColorfulShading">
    <w:name w:val="Colorful Shading"/>
    <w:basedOn w:val="TableNormal"/>
    <w:uiPriority w:val="99"/>
    <w:semiHidden/>
    <w:rsid w:val="00E77CB3"/>
    <w:rPr>
      <w:rFonts w:cs="Times New Roman"/>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000000" w:themeFill="text1" w:themeFillShade="99"/>
      </w:tcPr>
    </w:tblStylePr>
    <w:tblStylePr w:type="firstCol">
      <w:rPr>
        <w:rFonts w:cs="Times New Roman"/>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99"/>
    <w:semiHidden/>
    <w:rsid w:val="00E77CB3"/>
    <w:rPr>
      <w:rFonts w:cs="Times New Roman"/>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rFonts w:cs="Times New Roman"/>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004470" w:themeFill="accent1" w:themeFillShade="99"/>
      </w:tcPr>
    </w:tblStylePr>
    <w:tblStylePr w:type="firstCol">
      <w:rPr>
        <w:rFonts w:cs="Times New Roman"/>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rPr>
        <w:rFonts w:cs="Times New Roman"/>
      </w:rPr>
      <w:tblPr/>
      <w:tcPr>
        <w:shd w:val="clear" w:color="auto" w:fill="7ECBFF" w:themeFill="accent1" w:themeFillTint="66"/>
      </w:tcPr>
    </w:tblStylePr>
    <w:tblStylePr w:type="band1Horz">
      <w:rPr>
        <w:rFonts w:cs="Times New Roman"/>
      </w:rPr>
      <w:tblPr/>
      <w:tcPr>
        <w:shd w:val="clear" w:color="auto" w:fill="5EBFFF"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99"/>
    <w:semiHidden/>
    <w:rsid w:val="00E77CB3"/>
    <w:rPr>
      <w:rFonts w:cs="Times New Roman"/>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rFonts w:cs="Times New Roman"/>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730000" w:themeFill="accent2" w:themeFillShade="99"/>
      </w:tcPr>
    </w:tblStylePr>
    <w:tblStylePr w:type="firstCol">
      <w:rPr>
        <w:rFonts w:cs="Times New Roman"/>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rPr>
        <w:rFonts w:cs="Times New Roman"/>
      </w:rPr>
      <w:tblPr/>
      <w:tcPr>
        <w:shd w:val="clear" w:color="auto" w:fill="FF7F7F" w:themeFill="accent2" w:themeFillTint="66"/>
      </w:tcPr>
    </w:tblStylePr>
    <w:tblStylePr w:type="band1Horz">
      <w:rPr>
        <w:rFonts w:cs="Times New Roman"/>
      </w:rPr>
      <w:tblPr/>
      <w:tcPr>
        <w:shd w:val="clear" w:color="auto" w:fill="FF6060"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99"/>
    <w:semiHidden/>
    <w:rsid w:val="00E77CB3"/>
    <w:rPr>
      <w:rFonts w:cs="Times New Roman"/>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rFonts w:cs="Times New Roman"/>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393939" w:themeFill="accent3" w:themeFillShade="99"/>
      </w:tcPr>
    </w:tblStylePr>
    <w:tblStylePr w:type="firstCol">
      <w:rPr>
        <w:rFonts w:cs="Times New Roman"/>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rPr>
        <w:rFonts w:cs="Times New Roman"/>
      </w:rPr>
      <w:tblPr/>
      <w:tcPr>
        <w:shd w:val="clear" w:color="auto" w:fill="BFBFBF" w:themeFill="accent3" w:themeFillTint="66"/>
      </w:tcPr>
    </w:tblStylePr>
    <w:tblStylePr w:type="band1Horz">
      <w:rPr>
        <w:rFonts w:cs="Times New Roman"/>
      </w:rPr>
      <w:tblPr/>
      <w:tcPr>
        <w:shd w:val="clear" w:color="auto" w:fill="AFAFAF" w:themeFill="accent3" w:themeFillTint="7F"/>
      </w:tcPr>
    </w:tblStylePr>
  </w:style>
  <w:style w:type="table" w:styleId="ColorfulShading-Accent4">
    <w:name w:val="Colorful Shading Accent 4"/>
    <w:basedOn w:val="TableNormal"/>
    <w:uiPriority w:val="99"/>
    <w:semiHidden/>
    <w:rsid w:val="00E77CB3"/>
    <w:rPr>
      <w:rFonts w:cs="Times New Roman"/>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rFonts w:cs="Times New Roman"/>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5A5A5A" w:themeFill="accent4" w:themeFillShade="99"/>
      </w:tcPr>
    </w:tblStylePr>
    <w:tblStylePr w:type="firstCol">
      <w:rPr>
        <w:rFonts w:cs="Times New Roman"/>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rPr>
        <w:rFonts w:cs="Times New Roman"/>
      </w:rPr>
      <w:tblPr/>
      <w:tcPr>
        <w:shd w:val="clear" w:color="auto" w:fill="D5D5D5" w:themeFill="accent4" w:themeFillTint="66"/>
      </w:tcPr>
    </w:tblStylePr>
    <w:tblStylePr w:type="band1Horz">
      <w:rPr>
        <w:rFonts w:cs="Times New Roman"/>
      </w:rPr>
      <w:tblPr/>
      <w:tcPr>
        <w:shd w:val="clear" w:color="auto" w:fill="CACACA"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99"/>
    <w:semiHidden/>
    <w:rsid w:val="00E77CB3"/>
    <w:rPr>
      <w:rFonts w:cs="Times New Roman"/>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rFonts w:cs="Times New Roman"/>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393939" w:themeFill="accent5" w:themeFillShade="99"/>
      </w:tcPr>
    </w:tblStylePr>
    <w:tblStylePr w:type="firstCol">
      <w:rPr>
        <w:rFonts w:cs="Times New Roman"/>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rPr>
        <w:rFonts w:cs="Times New Roman"/>
      </w:rPr>
      <w:tblPr/>
      <w:tcPr>
        <w:shd w:val="clear" w:color="auto" w:fill="BFBFBF" w:themeFill="accent5" w:themeFillTint="66"/>
      </w:tcPr>
    </w:tblStylePr>
    <w:tblStylePr w:type="band1Horz">
      <w:rPr>
        <w:rFonts w:cs="Times New Roman"/>
      </w:rPr>
      <w:tblPr/>
      <w:tcPr>
        <w:shd w:val="clear" w:color="auto" w:fill="AFAFAF"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99"/>
    <w:semiHidden/>
    <w:rsid w:val="00E77CB3"/>
    <w:rPr>
      <w:rFonts w:cs="Times New Roman"/>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rFonts w:cs="Times New Roman"/>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2E2E2E" w:themeFill="accent6" w:themeFillShade="99"/>
      </w:tcPr>
    </w:tblStylePr>
    <w:tblStylePr w:type="firstCol">
      <w:rPr>
        <w:rFonts w:cs="Times New Roman"/>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rPr>
        <w:rFonts w:cs="Times New Roman"/>
      </w:rPr>
      <w:tblPr/>
      <w:tcPr>
        <w:shd w:val="clear" w:color="auto" w:fill="B7B7B7" w:themeFill="accent6" w:themeFillTint="66"/>
      </w:tcPr>
    </w:tblStylePr>
    <w:tblStylePr w:type="band1Horz">
      <w:rPr>
        <w:rFonts w:cs="Times New Roman"/>
      </w:rPr>
      <w:tblPr/>
      <w:tcPr>
        <w:shd w:val="clear" w:color="auto" w:fill="A6A6A6"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DarkList">
    <w:name w:val="Dark List"/>
    <w:basedOn w:val="TableNormal"/>
    <w:uiPriority w:val="99"/>
    <w:semiHidden/>
    <w:rsid w:val="00E77CB3"/>
    <w:rPr>
      <w:rFonts w:cs="Times New Roman"/>
      <w:color w:val="0072BC" w:themeColor="background1"/>
      <w:lang w:val="fr-FR" w:eastAsia="fr-FR"/>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E77CB3"/>
    <w:rPr>
      <w:rFonts w:cs="Times New Roman"/>
      <w:color w:val="0072BC" w:themeColor="background1"/>
      <w:lang w:val="fr-FR" w:eastAsia="fr-FR"/>
    </w:rPr>
    <w:tblPr>
      <w:tblStyleRowBandSize w:val="1"/>
      <w:tblStyleColBandSize w:val="1"/>
    </w:tblPr>
    <w:tcPr>
      <w:shd w:val="clear" w:color="auto" w:fill="0072BC" w:themeFill="accent1"/>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rPr>
        <w:rFonts w:cs="Times New Roman"/>
      </w:rPr>
      <w:tblPr/>
      <w:tcPr>
        <w:tcBorders>
          <w:top w:val="nil"/>
          <w:left w:val="nil"/>
          <w:bottom w:val="nil"/>
          <w:right w:val="nil"/>
          <w:insideH w:val="nil"/>
          <w:insideV w:val="nil"/>
        </w:tcBorders>
        <w:shd w:val="clear" w:color="auto" w:fill="00548C" w:themeFill="accent1" w:themeFillShade="BF"/>
      </w:tcPr>
    </w:tblStylePr>
    <w:tblStylePr w:type="band1Horz">
      <w:rPr>
        <w:rFonts w:cs="Times New Roman"/>
      </w:rPr>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E77CB3"/>
    <w:rPr>
      <w:rFonts w:cs="Times New Roman"/>
      <w:color w:val="0072BC" w:themeColor="background1"/>
      <w:lang w:val="fr-FR" w:eastAsia="fr-FR"/>
    </w:rPr>
    <w:tblPr>
      <w:tblStyleRowBandSize w:val="1"/>
      <w:tblStyleColBandSize w:val="1"/>
    </w:tblPr>
    <w:tcPr>
      <w:shd w:val="clear" w:color="auto" w:fill="C00000" w:themeFill="accent2"/>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rPr>
        <w:rFonts w:cs="Times New Roman"/>
      </w:rPr>
      <w:tblPr/>
      <w:tcPr>
        <w:tcBorders>
          <w:top w:val="nil"/>
          <w:left w:val="nil"/>
          <w:bottom w:val="nil"/>
          <w:right w:val="nil"/>
          <w:insideH w:val="nil"/>
          <w:insideV w:val="nil"/>
        </w:tcBorders>
        <w:shd w:val="clear" w:color="auto" w:fill="8F0000" w:themeFill="accent2" w:themeFillShade="BF"/>
      </w:tcPr>
    </w:tblStylePr>
    <w:tblStylePr w:type="band1Horz">
      <w:rPr>
        <w:rFonts w:cs="Times New Roman"/>
      </w:rPr>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E77CB3"/>
    <w:rPr>
      <w:rFonts w:cs="Times New Roman"/>
      <w:color w:val="0072BC" w:themeColor="background1"/>
      <w:lang w:val="fr-FR" w:eastAsia="fr-FR"/>
    </w:rPr>
    <w:tblPr>
      <w:tblStyleRowBandSize w:val="1"/>
      <w:tblStyleColBandSize w:val="1"/>
    </w:tblPr>
    <w:tcPr>
      <w:shd w:val="clear" w:color="auto" w:fill="5F5F5F" w:themeFill="accent3"/>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rPr>
        <w:rFonts w:cs="Times New Roman"/>
      </w:rPr>
      <w:tblPr/>
      <w:tcPr>
        <w:tcBorders>
          <w:top w:val="nil"/>
          <w:left w:val="nil"/>
          <w:bottom w:val="nil"/>
          <w:right w:val="nil"/>
          <w:insideH w:val="nil"/>
          <w:insideV w:val="nil"/>
        </w:tcBorders>
        <w:shd w:val="clear" w:color="auto" w:fill="474747" w:themeFill="accent3" w:themeFillShade="BF"/>
      </w:tcPr>
    </w:tblStylePr>
    <w:tblStylePr w:type="band1Horz">
      <w:rPr>
        <w:rFonts w:cs="Times New Roman"/>
      </w:rPr>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E77CB3"/>
    <w:rPr>
      <w:rFonts w:cs="Times New Roman"/>
      <w:color w:val="0072BC" w:themeColor="background1"/>
      <w:lang w:val="fr-FR" w:eastAsia="fr-FR"/>
    </w:rPr>
    <w:tblPr>
      <w:tblStyleRowBandSize w:val="1"/>
      <w:tblStyleColBandSize w:val="1"/>
    </w:tblPr>
    <w:tcPr>
      <w:shd w:val="clear" w:color="auto" w:fill="969696" w:themeFill="accent4"/>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rPr>
        <w:rFonts w:cs="Times New Roman"/>
      </w:rPr>
      <w:tblPr/>
      <w:tcPr>
        <w:tcBorders>
          <w:top w:val="nil"/>
          <w:left w:val="nil"/>
          <w:bottom w:val="nil"/>
          <w:right w:val="nil"/>
          <w:insideH w:val="nil"/>
          <w:insideV w:val="nil"/>
        </w:tcBorders>
        <w:shd w:val="clear" w:color="auto" w:fill="707070" w:themeFill="accent4" w:themeFillShade="BF"/>
      </w:tcPr>
    </w:tblStylePr>
    <w:tblStylePr w:type="band1Horz">
      <w:rPr>
        <w:rFonts w:cs="Times New Roman"/>
      </w:rPr>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E77CB3"/>
    <w:rPr>
      <w:rFonts w:cs="Times New Roman"/>
      <w:color w:val="0072BC" w:themeColor="background1"/>
      <w:lang w:val="fr-FR" w:eastAsia="fr-FR"/>
    </w:rPr>
    <w:tblPr>
      <w:tblStyleRowBandSize w:val="1"/>
      <w:tblStyleColBandSize w:val="1"/>
    </w:tblPr>
    <w:tcPr>
      <w:shd w:val="clear" w:color="auto" w:fill="5F5F5F" w:themeFill="accent5"/>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rPr>
        <w:rFonts w:cs="Times New Roman"/>
      </w:rPr>
      <w:tblPr/>
      <w:tcPr>
        <w:tcBorders>
          <w:top w:val="nil"/>
          <w:left w:val="nil"/>
          <w:bottom w:val="nil"/>
          <w:right w:val="nil"/>
          <w:insideH w:val="nil"/>
          <w:insideV w:val="nil"/>
        </w:tcBorders>
        <w:shd w:val="clear" w:color="auto" w:fill="474747" w:themeFill="accent5" w:themeFillShade="BF"/>
      </w:tcPr>
    </w:tblStylePr>
    <w:tblStylePr w:type="band1Horz">
      <w:rPr>
        <w:rFonts w:cs="Times New Roman"/>
      </w:rPr>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E77CB3"/>
    <w:rPr>
      <w:rFonts w:cs="Times New Roman"/>
      <w:color w:val="0072BC" w:themeColor="background1"/>
      <w:lang w:val="fr-FR" w:eastAsia="fr-FR"/>
    </w:rPr>
    <w:tblPr>
      <w:tblStyleRowBandSize w:val="1"/>
      <w:tblStyleColBandSize w:val="1"/>
    </w:tblPr>
    <w:tcPr>
      <w:shd w:val="clear" w:color="auto" w:fill="4D4D4D" w:themeFill="accent6"/>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rPr>
        <w:rFonts w:cs="Times New Roman"/>
      </w:rPr>
      <w:tblPr/>
      <w:tcPr>
        <w:tcBorders>
          <w:top w:val="nil"/>
          <w:left w:val="nil"/>
          <w:bottom w:val="nil"/>
          <w:right w:val="nil"/>
          <w:insideH w:val="nil"/>
          <w:insideV w:val="nil"/>
        </w:tcBorders>
        <w:shd w:val="clear" w:color="auto" w:fill="393939" w:themeFill="accent6" w:themeFillShade="BF"/>
      </w:tcPr>
    </w:tblStylePr>
    <w:tblStylePr w:type="band1Horz">
      <w:rPr>
        <w:rFonts w:cs="Times New Roman"/>
      </w:rPr>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E77CB3"/>
  </w:style>
  <w:style w:type="character" w:customStyle="1" w:styleId="DateChar">
    <w:name w:val="Date Char"/>
    <w:basedOn w:val="DefaultParagraphFont"/>
    <w:link w:val="Date"/>
    <w:uiPriority w:val="99"/>
    <w:semiHidden/>
    <w:locked/>
    <w:rsid w:val="00E77CB3"/>
    <w:rPr>
      <w:rFonts w:eastAsiaTheme="minorEastAsia" w:cs="Times New Roman"/>
      <w:sz w:val="24"/>
    </w:rPr>
  </w:style>
  <w:style w:type="paragraph" w:styleId="E-mailSignature">
    <w:name w:val="E-mail Signature"/>
    <w:basedOn w:val="Normal"/>
    <w:link w:val="E-mailSignatureChar"/>
    <w:uiPriority w:val="99"/>
    <w:semiHidden/>
    <w:rsid w:val="00E77CB3"/>
  </w:style>
  <w:style w:type="character" w:customStyle="1" w:styleId="E-mailSignatureChar">
    <w:name w:val="E-mail Signature Char"/>
    <w:basedOn w:val="DefaultParagraphFont"/>
    <w:link w:val="E-mailSignature"/>
    <w:uiPriority w:val="99"/>
    <w:semiHidden/>
    <w:locked/>
    <w:rsid w:val="00E77CB3"/>
    <w:rPr>
      <w:rFonts w:eastAsiaTheme="minorEastAsia" w:cs="Times New Roman"/>
      <w:sz w:val="24"/>
    </w:rPr>
  </w:style>
  <w:style w:type="paragraph" w:styleId="EnvelopeAddress">
    <w:name w:val="envelope address"/>
    <w:basedOn w:val="Normal"/>
    <w:uiPriority w:val="99"/>
    <w:semiHidden/>
    <w:rsid w:val="00E77CB3"/>
    <w:pPr>
      <w:framePr w:w="7938" w:h="1985" w:hRule="exact" w:hSpace="141" w:wrap="auto" w:hAnchor="page" w:xAlign="center" w:yAlign="bottom"/>
      <w:ind w:left="2835"/>
    </w:pPr>
    <w:rPr>
      <w:rFonts w:asciiTheme="majorHAnsi" w:eastAsiaTheme="majorEastAsia" w:hAnsiTheme="majorHAnsi"/>
      <w:szCs w:val="24"/>
    </w:rPr>
  </w:style>
  <w:style w:type="paragraph" w:styleId="EnvelopeReturn">
    <w:name w:val="envelope return"/>
    <w:basedOn w:val="Normal"/>
    <w:uiPriority w:val="99"/>
    <w:semiHidden/>
    <w:rsid w:val="00E77CB3"/>
    <w:rPr>
      <w:rFonts w:asciiTheme="majorHAnsi" w:eastAsiaTheme="majorEastAsia" w:hAnsiTheme="majorHAnsi"/>
      <w:sz w:val="20"/>
      <w:szCs w:val="20"/>
    </w:rPr>
  </w:style>
  <w:style w:type="character" w:styleId="HTMLAcronym">
    <w:name w:val="HTML Acronym"/>
    <w:basedOn w:val="DefaultParagraphFont"/>
    <w:uiPriority w:val="99"/>
    <w:semiHidden/>
    <w:rsid w:val="00E77CB3"/>
    <w:rPr>
      <w:rFonts w:cs="Times New Roman"/>
    </w:rPr>
  </w:style>
  <w:style w:type="paragraph" w:styleId="HTMLAddress">
    <w:name w:val="HTML Address"/>
    <w:basedOn w:val="Normal"/>
    <w:link w:val="HTMLAddressChar"/>
    <w:uiPriority w:val="99"/>
    <w:semiHidden/>
    <w:rsid w:val="00E77CB3"/>
    <w:rPr>
      <w:i/>
      <w:iCs/>
    </w:rPr>
  </w:style>
  <w:style w:type="character" w:customStyle="1" w:styleId="HTMLAddressChar">
    <w:name w:val="HTML Address Char"/>
    <w:basedOn w:val="DefaultParagraphFont"/>
    <w:link w:val="HTMLAddress"/>
    <w:uiPriority w:val="99"/>
    <w:semiHidden/>
    <w:locked/>
    <w:rsid w:val="00E77CB3"/>
    <w:rPr>
      <w:rFonts w:eastAsiaTheme="minorEastAsia" w:cs="Times New Roman"/>
      <w:i/>
      <w:iCs/>
      <w:sz w:val="24"/>
    </w:rPr>
  </w:style>
  <w:style w:type="character" w:styleId="HTMLCite">
    <w:name w:val="HTML Cite"/>
    <w:basedOn w:val="DefaultParagraphFont"/>
    <w:uiPriority w:val="99"/>
    <w:semiHidden/>
    <w:rsid w:val="00E77CB3"/>
    <w:rPr>
      <w:rFonts w:cs="Times New Roman"/>
      <w:i/>
      <w:iCs/>
    </w:rPr>
  </w:style>
  <w:style w:type="character" w:styleId="HTMLCode">
    <w:name w:val="HTML Code"/>
    <w:basedOn w:val="DefaultParagraphFont"/>
    <w:uiPriority w:val="99"/>
    <w:semiHidden/>
    <w:rsid w:val="00E77CB3"/>
    <w:rPr>
      <w:rFonts w:ascii="Consolas" w:hAnsi="Consolas" w:cs="Consolas"/>
      <w:sz w:val="20"/>
      <w:szCs w:val="20"/>
    </w:rPr>
  </w:style>
  <w:style w:type="character" w:styleId="HTMLDefinition">
    <w:name w:val="HTML Definition"/>
    <w:basedOn w:val="DefaultParagraphFont"/>
    <w:uiPriority w:val="99"/>
    <w:semiHidden/>
    <w:rsid w:val="00E77CB3"/>
    <w:rPr>
      <w:rFonts w:cs="Times New Roman"/>
      <w:i/>
      <w:iCs/>
    </w:rPr>
  </w:style>
  <w:style w:type="character" w:styleId="HTMLKeyboard">
    <w:name w:val="HTML Keyboard"/>
    <w:basedOn w:val="DefaultParagraphFont"/>
    <w:uiPriority w:val="99"/>
    <w:semiHidden/>
    <w:rsid w:val="00E77CB3"/>
    <w:rPr>
      <w:rFonts w:ascii="Consolas" w:hAnsi="Consolas" w:cs="Consolas"/>
      <w:sz w:val="20"/>
      <w:szCs w:val="20"/>
    </w:rPr>
  </w:style>
  <w:style w:type="paragraph" w:styleId="HTMLPreformatted">
    <w:name w:val="HTML Preformatted"/>
    <w:basedOn w:val="Normal"/>
    <w:link w:val="HTMLPreformattedChar"/>
    <w:uiPriority w:val="99"/>
    <w:semiHidden/>
    <w:rsid w:val="00E77CB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locked/>
    <w:rsid w:val="00E77CB3"/>
    <w:rPr>
      <w:rFonts w:ascii="Consolas" w:eastAsiaTheme="minorEastAsia" w:hAnsi="Consolas" w:cs="Consolas"/>
      <w:sz w:val="20"/>
      <w:szCs w:val="20"/>
    </w:rPr>
  </w:style>
  <w:style w:type="character" w:styleId="HTMLSample">
    <w:name w:val="HTML Sample"/>
    <w:basedOn w:val="DefaultParagraphFont"/>
    <w:uiPriority w:val="99"/>
    <w:semiHidden/>
    <w:rsid w:val="00E77CB3"/>
    <w:rPr>
      <w:rFonts w:ascii="Consolas" w:hAnsi="Consolas" w:cs="Consolas"/>
      <w:sz w:val="24"/>
      <w:szCs w:val="24"/>
    </w:rPr>
  </w:style>
  <w:style w:type="character" w:styleId="HTMLTypewriter">
    <w:name w:val="HTML Typewriter"/>
    <w:basedOn w:val="DefaultParagraphFont"/>
    <w:uiPriority w:val="99"/>
    <w:semiHidden/>
    <w:rsid w:val="00E77CB3"/>
    <w:rPr>
      <w:rFonts w:ascii="Consolas" w:hAnsi="Consolas" w:cs="Consolas"/>
      <w:sz w:val="20"/>
      <w:szCs w:val="20"/>
    </w:rPr>
  </w:style>
  <w:style w:type="character" w:styleId="HTMLVariable">
    <w:name w:val="HTML Variable"/>
    <w:basedOn w:val="DefaultParagraphFont"/>
    <w:uiPriority w:val="99"/>
    <w:semiHidden/>
    <w:rsid w:val="00E77CB3"/>
    <w:rPr>
      <w:rFonts w:cs="Times New Roman"/>
      <w:i/>
      <w:iCs/>
    </w:rPr>
  </w:style>
  <w:style w:type="paragraph" w:styleId="Index1">
    <w:name w:val="index 1"/>
    <w:basedOn w:val="Normal"/>
    <w:next w:val="Normal"/>
    <w:autoRedefine/>
    <w:uiPriority w:val="99"/>
    <w:semiHidden/>
    <w:rsid w:val="00E77CB3"/>
    <w:pPr>
      <w:ind w:left="240" w:hanging="240"/>
    </w:pPr>
  </w:style>
  <w:style w:type="paragraph" w:styleId="Index2">
    <w:name w:val="index 2"/>
    <w:basedOn w:val="Normal"/>
    <w:next w:val="Normal"/>
    <w:autoRedefine/>
    <w:uiPriority w:val="99"/>
    <w:semiHidden/>
    <w:rsid w:val="00E77CB3"/>
    <w:pPr>
      <w:ind w:left="480" w:hanging="240"/>
    </w:pPr>
  </w:style>
  <w:style w:type="paragraph" w:styleId="Index3">
    <w:name w:val="index 3"/>
    <w:basedOn w:val="Normal"/>
    <w:next w:val="Normal"/>
    <w:autoRedefine/>
    <w:uiPriority w:val="99"/>
    <w:semiHidden/>
    <w:rsid w:val="00E77CB3"/>
    <w:pPr>
      <w:ind w:left="720" w:hanging="240"/>
    </w:pPr>
  </w:style>
  <w:style w:type="paragraph" w:styleId="Index4">
    <w:name w:val="index 4"/>
    <w:basedOn w:val="Normal"/>
    <w:next w:val="Normal"/>
    <w:autoRedefine/>
    <w:uiPriority w:val="99"/>
    <w:semiHidden/>
    <w:rsid w:val="00E77CB3"/>
    <w:pPr>
      <w:ind w:left="960" w:hanging="240"/>
    </w:pPr>
  </w:style>
  <w:style w:type="paragraph" w:styleId="Index5">
    <w:name w:val="index 5"/>
    <w:basedOn w:val="Normal"/>
    <w:next w:val="Normal"/>
    <w:autoRedefine/>
    <w:uiPriority w:val="99"/>
    <w:semiHidden/>
    <w:rsid w:val="00E77CB3"/>
    <w:pPr>
      <w:ind w:left="1200" w:hanging="240"/>
    </w:pPr>
  </w:style>
  <w:style w:type="paragraph" w:styleId="Index6">
    <w:name w:val="index 6"/>
    <w:basedOn w:val="Normal"/>
    <w:next w:val="Normal"/>
    <w:autoRedefine/>
    <w:uiPriority w:val="99"/>
    <w:semiHidden/>
    <w:rsid w:val="00E77CB3"/>
    <w:pPr>
      <w:ind w:left="1440" w:hanging="240"/>
    </w:pPr>
  </w:style>
  <w:style w:type="paragraph" w:styleId="Index7">
    <w:name w:val="index 7"/>
    <w:basedOn w:val="Normal"/>
    <w:next w:val="Normal"/>
    <w:autoRedefine/>
    <w:uiPriority w:val="99"/>
    <w:semiHidden/>
    <w:rsid w:val="00E77CB3"/>
    <w:pPr>
      <w:ind w:left="1680" w:hanging="240"/>
    </w:pPr>
  </w:style>
  <w:style w:type="paragraph" w:styleId="Index8">
    <w:name w:val="index 8"/>
    <w:basedOn w:val="Normal"/>
    <w:next w:val="Normal"/>
    <w:autoRedefine/>
    <w:uiPriority w:val="99"/>
    <w:semiHidden/>
    <w:rsid w:val="00E77CB3"/>
    <w:pPr>
      <w:ind w:left="1920" w:hanging="240"/>
    </w:pPr>
  </w:style>
  <w:style w:type="paragraph" w:styleId="Index9">
    <w:name w:val="index 9"/>
    <w:basedOn w:val="Normal"/>
    <w:next w:val="Normal"/>
    <w:autoRedefine/>
    <w:uiPriority w:val="99"/>
    <w:semiHidden/>
    <w:rsid w:val="00E77CB3"/>
    <w:pPr>
      <w:ind w:left="2160" w:hanging="240"/>
    </w:pPr>
  </w:style>
  <w:style w:type="paragraph" w:styleId="IndexHeading">
    <w:name w:val="index heading"/>
    <w:basedOn w:val="Normal"/>
    <w:next w:val="Index1"/>
    <w:uiPriority w:val="99"/>
    <w:semiHidden/>
    <w:rsid w:val="00E77CB3"/>
    <w:rPr>
      <w:rFonts w:asciiTheme="majorHAnsi" w:eastAsiaTheme="majorEastAsia" w:hAnsiTheme="majorHAnsi"/>
      <w:b/>
      <w:bCs/>
    </w:rPr>
  </w:style>
  <w:style w:type="table" w:styleId="LightGrid">
    <w:name w:val="Light Grid"/>
    <w:basedOn w:val="TableNormal"/>
    <w:uiPriority w:val="99"/>
    <w:semiHidden/>
    <w:rsid w:val="00E77CB3"/>
    <w:rPr>
      <w:rFonts w:cs="Times New Roman"/>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E77CB3"/>
    <w:rPr>
      <w:rFonts w:cs="Times New Roman"/>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pPr>
      <w:rPr>
        <w:rFonts w:asciiTheme="majorHAnsi" w:eastAsiaTheme="majorEastAsia" w:hAnsiTheme="majorHAnsi" w:cs="Times New Roman"/>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rPr>
        <w:rFonts w:cs="Times New Roman"/>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rPr>
        <w:rFonts w:cs="Times New Roman"/>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rPr>
        <w:rFonts w:cs="Times New Roman"/>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E77CB3"/>
    <w:rPr>
      <w:rFonts w:cs="Times New Roman"/>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pPr>
      <w:rPr>
        <w:rFonts w:asciiTheme="majorHAnsi" w:eastAsiaTheme="majorEastAsia" w:hAnsiTheme="majorHAnsi" w:cs="Times New Roman"/>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rPr>
        <w:rFonts w:cs="Times New Roman"/>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rPr>
        <w:rFonts w:cs="Times New Roman"/>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rPr>
        <w:rFonts w:cs="Times New Roman"/>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E77CB3"/>
    <w:rPr>
      <w:rFonts w:cs="Times New Roman"/>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pPr>
      <w:rPr>
        <w:rFonts w:asciiTheme="majorHAnsi" w:eastAsiaTheme="majorEastAsia" w:hAnsiTheme="majorHAnsi" w:cs="Times New Roman"/>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rPr>
        <w:rFonts w:cs="Times New Roman"/>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rPr>
        <w:rFonts w:cs="Times New Roman"/>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rPr>
        <w:rFonts w:cs="Times New Roman"/>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E77CB3"/>
    <w:rPr>
      <w:rFonts w:cs="Times New Roman"/>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pPr>
      <w:rPr>
        <w:rFonts w:asciiTheme="majorHAnsi" w:eastAsiaTheme="majorEastAsia" w:hAnsiTheme="majorHAnsi" w:cs="Times New Roman"/>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rPr>
        <w:rFonts w:cs="Times New Roman"/>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rPr>
        <w:rFonts w:cs="Times New Roman"/>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rPr>
        <w:rFonts w:cs="Times New Roman"/>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E77CB3"/>
    <w:rPr>
      <w:rFonts w:cs="Times New Roman"/>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pPr>
      <w:rPr>
        <w:rFonts w:asciiTheme="majorHAnsi" w:eastAsiaTheme="majorEastAsia" w:hAnsiTheme="majorHAnsi" w:cs="Times New Roman"/>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rPr>
        <w:rFonts w:cs="Times New Roman"/>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rPr>
        <w:rFonts w:cs="Times New Roman"/>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rPr>
        <w:rFonts w:cs="Times New Roman"/>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E77CB3"/>
    <w:rPr>
      <w:rFonts w:cs="Times New Roman"/>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pPr>
      <w:rPr>
        <w:rFonts w:asciiTheme="majorHAnsi" w:eastAsiaTheme="majorEastAsia" w:hAnsiTheme="majorHAnsi" w:cs="Times New Roman"/>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rPr>
        <w:rFonts w:cs="Times New Roman"/>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rPr>
        <w:rFonts w:cs="Times New Roman"/>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rPr>
        <w:rFonts w:cs="Times New Roman"/>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E77CB3"/>
    <w:rPr>
      <w:rFonts w:cs="Times New Roman"/>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0072BC"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E77CB3"/>
    <w:rPr>
      <w:rFonts w:cs="Times New Roman"/>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pPr>
      <w:rPr>
        <w:rFonts w:cs="Times New Roman"/>
        <w:b/>
        <w:bCs/>
        <w:color w:val="0072BC" w:themeColor="background1"/>
      </w:rPr>
      <w:tblPr/>
      <w:tcPr>
        <w:shd w:val="clear" w:color="auto" w:fill="0072BC" w:themeFill="accent1"/>
      </w:tcPr>
    </w:tblStylePr>
    <w:tblStylePr w:type="lastRow">
      <w:pPr>
        <w:spacing w:before="0" w:after="0"/>
      </w:pPr>
      <w:rPr>
        <w:rFonts w:cs="Times New Roman"/>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rPr>
        <w:rFonts w:cs="Times New Roman"/>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E77CB3"/>
    <w:rPr>
      <w:rFonts w:cs="Times New Roman"/>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pPr>
      <w:rPr>
        <w:rFonts w:cs="Times New Roman"/>
        <w:b/>
        <w:bCs/>
        <w:color w:val="0072BC" w:themeColor="background1"/>
      </w:rPr>
      <w:tblPr/>
      <w:tcPr>
        <w:shd w:val="clear" w:color="auto" w:fill="C00000" w:themeFill="accent2"/>
      </w:tcPr>
    </w:tblStylePr>
    <w:tblStylePr w:type="lastRow">
      <w:pPr>
        <w:spacing w:before="0" w:after="0"/>
      </w:pPr>
      <w:rPr>
        <w:rFonts w:cs="Times New Roman"/>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rPr>
        <w:rFonts w:cs="Times New Roman"/>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E77CB3"/>
    <w:rPr>
      <w:rFonts w:cs="Times New Roman"/>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pPr>
      <w:rPr>
        <w:rFonts w:cs="Times New Roman"/>
        <w:b/>
        <w:bCs/>
        <w:color w:val="0072BC" w:themeColor="background1"/>
      </w:rPr>
      <w:tblPr/>
      <w:tcPr>
        <w:shd w:val="clear" w:color="auto" w:fill="5F5F5F" w:themeFill="accent3"/>
      </w:tcPr>
    </w:tblStylePr>
    <w:tblStylePr w:type="lastRow">
      <w:pPr>
        <w:spacing w:before="0" w:after="0"/>
      </w:pPr>
      <w:rPr>
        <w:rFonts w:cs="Times New Roman"/>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rPr>
        <w:rFonts w:cs="Times New Roman"/>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E77CB3"/>
    <w:rPr>
      <w:rFonts w:cs="Times New Roman"/>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pPr>
      <w:rPr>
        <w:rFonts w:cs="Times New Roman"/>
        <w:b/>
        <w:bCs/>
        <w:color w:val="0072BC" w:themeColor="background1"/>
      </w:rPr>
      <w:tblPr/>
      <w:tcPr>
        <w:shd w:val="clear" w:color="auto" w:fill="969696" w:themeFill="accent4"/>
      </w:tcPr>
    </w:tblStylePr>
    <w:tblStylePr w:type="lastRow">
      <w:pPr>
        <w:spacing w:before="0" w:after="0"/>
      </w:pPr>
      <w:rPr>
        <w:rFonts w:cs="Times New Roman"/>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rPr>
        <w:rFonts w:cs="Times New Roman"/>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E77CB3"/>
    <w:rPr>
      <w:rFonts w:cs="Times New Roman"/>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pPr>
      <w:rPr>
        <w:rFonts w:cs="Times New Roman"/>
        <w:b/>
        <w:bCs/>
        <w:color w:val="0072BC" w:themeColor="background1"/>
      </w:rPr>
      <w:tblPr/>
      <w:tcPr>
        <w:shd w:val="clear" w:color="auto" w:fill="5F5F5F" w:themeFill="accent5"/>
      </w:tcPr>
    </w:tblStylePr>
    <w:tblStylePr w:type="lastRow">
      <w:pPr>
        <w:spacing w:before="0" w:after="0"/>
      </w:pPr>
      <w:rPr>
        <w:rFonts w:cs="Times New Roman"/>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rPr>
        <w:rFonts w:cs="Times New Roman"/>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E77CB3"/>
    <w:rPr>
      <w:rFonts w:cs="Times New Roman"/>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pPr>
      <w:rPr>
        <w:rFonts w:cs="Times New Roman"/>
        <w:b/>
        <w:bCs/>
        <w:color w:val="0072BC" w:themeColor="background1"/>
      </w:rPr>
      <w:tblPr/>
      <w:tcPr>
        <w:shd w:val="clear" w:color="auto" w:fill="4D4D4D" w:themeFill="accent6"/>
      </w:tcPr>
    </w:tblStylePr>
    <w:tblStylePr w:type="lastRow">
      <w:pPr>
        <w:spacing w:before="0" w:after="0"/>
      </w:pPr>
      <w:rPr>
        <w:rFonts w:cs="Times New Roman"/>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rPr>
        <w:rFonts w:cs="Times New Roman"/>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E77CB3"/>
    <w:rPr>
      <w:rFonts w:cs="Times New Roman"/>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E77CB3"/>
    <w:rPr>
      <w:rFonts w:cs="Times New Roman"/>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pPr>
      <w:rPr>
        <w:rFonts w:cs="Times New Roman"/>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pPr>
      <w:rPr>
        <w:rFonts w:cs="Times New Roman"/>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hemeFill="accent1" w:themeFillTint="3F"/>
      </w:tcPr>
    </w:tblStylePr>
    <w:tblStylePr w:type="band1Horz">
      <w:rPr>
        <w:rFonts w:cs="Times New Roman"/>
      </w:rPr>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E77CB3"/>
    <w:rPr>
      <w:rFonts w:cs="Times New Roman"/>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pPr>
      <w:rPr>
        <w:rFonts w:cs="Times New Roman"/>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pPr>
      <w:rPr>
        <w:rFonts w:cs="Times New Roman"/>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hemeFill="accent2" w:themeFillTint="3F"/>
      </w:tcPr>
    </w:tblStylePr>
    <w:tblStylePr w:type="band1Horz">
      <w:rPr>
        <w:rFonts w:cs="Times New Roman"/>
      </w:rPr>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E77CB3"/>
    <w:rPr>
      <w:rFonts w:cs="Times New Roman"/>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pPr>
      <w:rPr>
        <w:rFonts w:cs="Times New Roman"/>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pPr>
      <w:rPr>
        <w:rFonts w:cs="Times New Roman"/>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hemeFill="accent3" w:themeFillTint="3F"/>
      </w:tcPr>
    </w:tblStylePr>
    <w:tblStylePr w:type="band1Horz">
      <w:rPr>
        <w:rFonts w:cs="Times New Roman"/>
      </w:rPr>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E77CB3"/>
    <w:rPr>
      <w:rFonts w:cs="Times New Roman"/>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pPr>
      <w:rPr>
        <w:rFonts w:cs="Times New Roman"/>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pPr>
      <w:rPr>
        <w:rFonts w:cs="Times New Roman"/>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hemeFill="accent4" w:themeFillTint="3F"/>
      </w:tcPr>
    </w:tblStylePr>
    <w:tblStylePr w:type="band1Horz">
      <w:rPr>
        <w:rFonts w:cs="Times New Roman"/>
      </w:rPr>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E77CB3"/>
    <w:rPr>
      <w:rFonts w:cs="Times New Roman"/>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pPr>
      <w:rPr>
        <w:rFonts w:cs="Times New Roman"/>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pPr>
      <w:rPr>
        <w:rFonts w:cs="Times New Roman"/>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hemeFill="accent5" w:themeFillTint="3F"/>
      </w:tcPr>
    </w:tblStylePr>
    <w:tblStylePr w:type="band1Horz">
      <w:rPr>
        <w:rFonts w:cs="Times New Roman"/>
      </w:rPr>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E77CB3"/>
    <w:rPr>
      <w:rFonts w:cs="Times New Roman"/>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pPr>
      <w:rPr>
        <w:rFonts w:cs="Times New Roman"/>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pPr>
      <w:rPr>
        <w:rFonts w:cs="Times New Roman"/>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hemeFill="accent6" w:themeFillTint="3F"/>
      </w:tcPr>
    </w:tblStylePr>
    <w:tblStylePr w:type="band1Horz">
      <w:rPr>
        <w:rFonts w:cs="Times New Roman"/>
      </w:rPr>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E77CB3"/>
    <w:rPr>
      <w:rFonts w:cs="Times New Roman"/>
    </w:rPr>
  </w:style>
  <w:style w:type="paragraph" w:styleId="List">
    <w:name w:val="List"/>
    <w:basedOn w:val="Normal"/>
    <w:uiPriority w:val="99"/>
    <w:semiHidden/>
    <w:rsid w:val="00E77CB3"/>
    <w:pPr>
      <w:ind w:left="283" w:hanging="283"/>
      <w:contextualSpacing/>
    </w:pPr>
  </w:style>
  <w:style w:type="paragraph" w:styleId="List2">
    <w:name w:val="List 2"/>
    <w:basedOn w:val="Normal"/>
    <w:uiPriority w:val="99"/>
    <w:semiHidden/>
    <w:rsid w:val="00E77CB3"/>
    <w:pPr>
      <w:ind w:left="566" w:hanging="283"/>
      <w:contextualSpacing/>
    </w:pPr>
  </w:style>
  <w:style w:type="paragraph" w:styleId="List3">
    <w:name w:val="List 3"/>
    <w:basedOn w:val="Normal"/>
    <w:uiPriority w:val="99"/>
    <w:semiHidden/>
    <w:rsid w:val="00E77CB3"/>
    <w:pPr>
      <w:ind w:left="849" w:hanging="283"/>
      <w:contextualSpacing/>
    </w:pPr>
  </w:style>
  <w:style w:type="paragraph" w:styleId="List4">
    <w:name w:val="List 4"/>
    <w:basedOn w:val="Normal"/>
    <w:uiPriority w:val="99"/>
    <w:semiHidden/>
    <w:rsid w:val="00E77CB3"/>
    <w:pPr>
      <w:ind w:left="1132" w:hanging="283"/>
      <w:contextualSpacing/>
    </w:pPr>
  </w:style>
  <w:style w:type="paragraph" w:styleId="List5">
    <w:name w:val="List 5"/>
    <w:basedOn w:val="Normal"/>
    <w:uiPriority w:val="99"/>
    <w:semiHidden/>
    <w:rsid w:val="00E77CB3"/>
    <w:pPr>
      <w:ind w:left="1415" w:hanging="283"/>
      <w:contextualSpacing/>
    </w:pPr>
  </w:style>
  <w:style w:type="paragraph" w:styleId="ListBullet2">
    <w:name w:val="List Bullet 2"/>
    <w:basedOn w:val="Normal"/>
    <w:uiPriority w:val="99"/>
    <w:semiHidden/>
    <w:rsid w:val="00E77CB3"/>
    <w:pPr>
      <w:numPr>
        <w:numId w:val="15"/>
      </w:numPr>
      <w:tabs>
        <w:tab w:val="num" w:pos="643"/>
      </w:tabs>
      <w:ind w:left="643"/>
      <w:contextualSpacing/>
    </w:pPr>
  </w:style>
  <w:style w:type="paragraph" w:styleId="ListBullet3">
    <w:name w:val="List Bullet 3"/>
    <w:basedOn w:val="Normal"/>
    <w:uiPriority w:val="99"/>
    <w:semiHidden/>
    <w:rsid w:val="00E77CB3"/>
    <w:pPr>
      <w:numPr>
        <w:numId w:val="16"/>
      </w:numPr>
      <w:tabs>
        <w:tab w:val="clear" w:pos="360"/>
        <w:tab w:val="num" w:pos="926"/>
      </w:tabs>
      <w:ind w:left="926"/>
      <w:contextualSpacing/>
    </w:pPr>
  </w:style>
  <w:style w:type="paragraph" w:styleId="ListBullet4">
    <w:name w:val="List Bullet 4"/>
    <w:basedOn w:val="Normal"/>
    <w:uiPriority w:val="99"/>
    <w:semiHidden/>
    <w:rsid w:val="00E77CB3"/>
    <w:pPr>
      <w:numPr>
        <w:numId w:val="17"/>
      </w:numPr>
      <w:tabs>
        <w:tab w:val="num" w:pos="1209"/>
      </w:tabs>
      <w:ind w:left="1209"/>
      <w:contextualSpacing/>
    </w:pPr>
  </w:style>
  <w:style w:type="paragraph" w:styleId="ListBullet5">
    <w:name w:val="List Bullet 5"/>
    <w:basedOn w:val="Normal"/>
    <w:uiPriority w:val="99"/>
    <w:semiHidden/>
    <w:rsid w:val="00E77CB3"/>
    <w:pPr>
      <w:numPr>
        <w:numId w:val="18"/>
      </w:numPr>
      <w:tabs>
        <w:tab w:val="num" w:pos="1492"/>
      </w:tabs>
      <w:ind w:left="1492"/>
      <w:contextualSpacing/>
    </w:pPr>
  </w:style>
  <w:style w:type="paragraph" w:styleId="ListContinue">
    <w:name w:val="List Continue"/>
    <w:basedOn w:val="Normal"/>
    <w:uiPriority w:val="99"/>
    <w:semiHidden/>
    <w:rsid w:val="00E77CB3"/>
    <w:pPr>
      <w:spacing w:after="120"/>
      <w:ind w:left="283"/>
      <w:contextualSpacing/>
    </w:pPr>
  </w:style>
  <w:style w:type="paragraph" w:styleId="ListContinue2">
    <w:name w:val="List Continue 2"/>
    <w:basedOn w:val="Normal"/>
    <w:uiPriority w:val="99"/>
    <w:semiHidden/>
    <w:rsid w:val="00E77CB3"/>
    <w:pPr>
      <w:spacing w:after="120"/>
      <w:ind w:left="566"/>
      <w:contextualSpacing/>
    </w:pPr>
  </w:style>
  <w:style w:type="paragraph" w:styleId="ListContinue3">
    <w:name w:val="List Continue 3"/>
    <w:basedOn w:val="Normal"/>
    <w:uiPriority w:val="99"/>
    <w:semiHidden/>
    <w:rsid w:val="00E77CB3"/>
    <w:pPr>
      <w:spacing w:after="120"/>
      <w:ind w:left="849"/>
      <w:contextualSpacing/>
    </w:pPr>
  </w:style>
  <w:style w:type="paragraph" w:styleId="ListContinue4">
    <w:name w:val="List Continue 4"/>
    <w:basedOn w:val="Normal"/>
    <w:uiPriority w:val="99"/>
    <w:semiHidden/>
    <w:rsid w:val="00E77CB3"/>
    <w:pPr>
      <w:spacing w:after="120"/>
      <w:ind w:left="1132"/>
      <w:contextualSpacing/>
    </w:pPr>
  </w:style>
  <w:style w:type="paragraph" w:styleId="ListContinue5">
    <w:name w:val="List Continue 5"/>
    <w:basedOn w:val="Normal"/>
    <w:uiPriority w:val="99"/>
    <w:semiHidden/>
    <w:rsid w:val="00E77CB3"/>
    <w:pPr>
      <w:spacing w:after="120"/>
      <w:ind w:left="1415"/>
      <w:contextualSpacing/>
    </w:pPr>
  </w:style>
  <w:style w:type="paragraph" w:styleId="ListNumber">
    <w:name w:val="List Number"/>
    <w:basedOn w:val="Normal"/>
    <w:uiPriority w:val="99"/>
    <w:semiHidden/>
    <w:rsid w:val="00E77CB3"/>
    <w:pPr>
      <w:numPr>
        <w:numId w:val="19"/>
      </w:numPr>
      <w:ind w:left="360"/>
      <w:contextualSpacing/>
    </w:pPr>
  </w:style>
  <w:style w:type="paragraph" w:styleId="ListNumber2">
    <w:name w:val="List Number 2"/>
    <w:basedOn w:val="Normal"/>
    <w:uiPriority w:val="99"/>
    <w:semiHidden/>
    <w:rsid w:val="00E77CB3"/>
    <w:pPr>
      <w:numPr>
        <w:numId w:val="20"/>
      </w:numPr>
      <w:tabs>
        <w:tab w:val="num" w:pos="643"/>
      </w:tabs>
      <w:ind w:left="643"/>
      <w:contextualSpacing/>
    </w:pPr>
  </w:style>
  <w:style w:type="paragraph" w:styleId="ListNumber3">
    <w:name w:val="List Number 3"/>
    <w:basedOn w:val="Normal"/>
    <w:uiPriority w:val="99"/>
    <w:semiHidden/>
    <w:rsid w:val="00E77CB3"/>
    <w:pPr>
      <w:numPr>
        <w:numId w:val="21"/>
      </w:numPr>
      <w:tabs>
        <w:tab w:val="clear" w:pos="360"/>
        <w:tab w:val="num" w:pos="926"/>
      </w:tabs>
      <w:ind w:left="926"/>
      <w:contextualSpacing/>
    </w:pPr>
  </w:style>
  <w:style w:type="paragraph" w:styleId="ListNumber4">
    <w:name w:val="List Number 4"/>
    <w:basedOn w:val="Normal"/>
    <w:uiPriority w:val="99"/>
    <w:semiHidden/>
    <w:rsid w:val="00E77CB3"/>
    <w:pPr>
      <w:numPr>
        <w:numId w:val="22"/>
      </w:numPr>
      <w:tabs>
        <w:tab w:val="num" w:pos="1209"/>
      </w:tabs>
      <w:ind w:left="1209"/>
      <w:contextualSpacing/>
    </w:pPr>
  </w:style>
  <w:style w:type="paragraph" w:styleId="ListNumber5">
    <w:name w:val="List Number 5"/>
    <w:basedOn w:val="Normal"/>
    <w:uiPriority w:val="99"/>
    <w:semiHidden/>
    <w:rsid w:val="00E77CB3"/>
    <w:pPr>
      <w:numPr>
        <w:numId w:val="23"/>
      </w:numPr>
      <w:tabs>
        <w:tab w:val="num" w:pos="1492"/>
      </w:tabs>
      <w:ind w:left="1492"/>
      <w:contextualSpacing/>
    </w:pPr>
  </w:style>
  <w:style w:type="paragraph" w:styleId="MacroText">
    <w:name w:val="macro"/>
    <w:link w:val="MacroTextChar"/>
    <w:uiPriority w:val="99"/>
    <w:semiHidden/>
    <w:rsid w:val="00E77CB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locked/>
    <w:rsid w:val="00E77CB3"/>
    <w:rPr>
      <w:rFonts w:ascii="Consolas" w:eastAsiaTheme="minorEastAsia" w:hAnsi="Consolas" w:cs="Consolas"/>
      <w:sz w:val="20"/>
      <w:szCs w:val="20"/>
    </w:rPr>
  </w:style>
  <w:style w:type="table" w:styleId="MediumGrid1">
    <w:name w:val="Medium Grid 1"/>
    <w:basedOn w:val="TableNormal"/>
    <w:uiPriority w:val="99"/>
    <w:semiHidden/>
    <w:rsid w:val="00E77CB3"/>
    <w:rPr>
      <w:rFonts w:cs="Times New Roman"/>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99"/>
    <w:semiHidden/>
    <w:rsid w:val="00E77CB3"/>
    <w:rPr>
      <w:rFonts w:cs="Times New Roman"/>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rFonts w:cs="Times New Roman"/>
        <w:b/>
        <w:bCs/>
      </w:rPr>
    </w:tblStylePr>
    <w:tblStylePr w:type="lastRow">
      <w:rPr>
        <w:rFonts w:cs="Times New Roman"/>
        <w:b/>
        <w:bCs/>
      </w:rPr>
      <w:tblPr/>
      <w:tcPr>
        <w:tcBorders>
          <w:top w:val="single" w:sz="18" w:space="0" w:color="0D9FF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hemeFill="accent1" w:themeFillTint="7F"/>
      </w:tcPr>
    </w:tblStylePr>
    <w:tblStylePr w:type="band1Horz">
      <w:rPr>
        <w:rFonts w:cs="Times New Roman"/>
      </w:rPr>
      <w:tblPr/>
      <w:tcPr>
        <w:shd w:val="clear" w:color="auto" w:fill="5EBFFF" w:themeFill="accent1" w:themeFillTint="7F"/>
      </w:tcPr>
    </w:tblStylePr>
  </w:style>
  <w:style w:type="table" w:styleId="MediumGrid1-Accent2">
    <w:name w:val="Medium Grid 1 Accent 2"/>
    <w:basedOn w:val="TableNormal"/>
    <w:uiPriority w:val="99"/>
    <w:semiHidden/>
    <w:rsid w:val="00E77CB3"/>
    <w:rPr>
      <w:rFonts w:cs="Times New Roman"/>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rFonts w:cs="Times New Roman"/>
        <w:b/>
        <w:bCs/>
      </w:rPr>
    </w:tblStylePr>
    <w:tblStylePr w:type="lastRow">
      <w:rPr>
        <w:rFonts w:cs="Times New Roman"/>
        <w:b/>
        <w:bCs/>
      </w:rPr>
      <w:tblPr/>
      <w:tcPr>
        <w:tcBorders>
          <w:top w:val="single" w:sz="18" w:space="0" w:color="FF1010"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hemeFill="accent2" w:themeFillTint="7F"/>
      </w:tcPr>
    </w:tblStylePr>
    <w:tblStylePr w:type="band1Horz">
      <w:rPr>
        <w:rFonts w:cs="Times New Roman"/>
      </w:rPr>
      <w:tblPr/>
      <w:tcPr>
        <w:shd w:val="clear" w:color="auto" w:fill="FF6060" w:themeFill="accent2" w:themeFillTint="7F"/>
      </w:tcPr>
    </w:tblStylePr>
  </w:style>
  <w:style w:type="table" w:styleId="MediumGrid1-Accent3">
    <w:name w:val="Medium Grid 1 Accent 3"/>
    <w:basedOn w:val="TableNormal"/>
    <w:uiPriority w:val="99"/>
    <w:semiHidden/>
    <w:rsid w:val="00E77CB3"/>
    <w:rPr>
      <w:rFonts w:cs="Times New Roman"/>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rFonts w:cs="Times New Roman"/>
        <w:b/>
        <w:bCs/>
      </w:rPr>
    </w:tblStylePr>
    <w:tblStylePr w:type="lastRow">
      <w:rPr>
        <w:rFonts w:cs="Times New Roman"/>
        <w:b/>
        <w:bCs/>
      </w:rPr>
      <w:tblPr/>
      <w:tcPr>
        <w:tcBorders>
          <w:top w:val="single" w:sz="18" w:space="0" w:color="878787"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hemeFill="accent3" w:themeFillTint="7F"/>
      </w:tcPr>
    </w:tblStylePr>
    <w:tblStylePr w:type="band1Horz">
      <w:rPr>
        <w:rFonts w:cs="Times New Roman"/>
      </w:rPr>
      <w:tblPr/>
      <w:tcPr>
        <w:shd w:val="clear" w:color="auto" w:fill="AFAFAF" w:themeFill="accent3" w:themeFillTint="7F"/>
      </w:tcPr>
    </w:tblStylePr>
  </w:style>
  <w:style w:type="table" w:styleId="MediumGrid1-Accent4">
    <w:name w:val="Medium Grid 1 Accent 4"/>
    <w:basedOn w:val="TableNormal"/>
    <w:uiPriority w:val="99"/>
    <w:semiHidden/>
    <w:rsid w:val="00E77CB3"/>
    <w:rPr>
      <w:rFonts w:cs="Times New Roman"/>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rFonts w:cs="Times New Roman"/>
        <w:b/>
        <w:bCs/>
      </w:rPr>
    </w:tblStylePr>
    <w:tblStylePr w:type="lastRow">
      <w:rPr>
        <w:rFonts w:cs="Times New Roman"/>
        <w:b/>
        <w:bCs/>
      </w:rPr>
      <w:tblPr/>
      <w:tcPr>
        <w:tcBorders>
          <w:top w:val="single" w:sz="18" w:space="0" w:color="B0B0B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hemeFill="accent4" w:themeFillTint="7F"/>
      </w:tcPr>
    </w:tblStylePr>
    <w:tblStylePr w:type="band1Horz">
      <w:rPr>
        <w:rFonts w:cs="Times New Roman"/>
      </w:rPr>
      <w:tblPr/>
      <w:tcPr>
        <w:shd w:val="clear" w:color="auto" w:fill="CACACA" w:themeFill="accent4" w:themeFillTint="7F"/>
      </w:tcPr>
    </w:tblStylePr>
  </w:style>
  <w:style w:type="table" w:styleId="MediumGrid1-Accent5">
    <w:name w:val="Medium Grid 1 Accent 5"/>
    <w:basedOn w:val="TableNormal"/>
    <w:uiPriority w:val="99"/>
    <w:semiHidden/>
    <w:rsid w:val="00E77CB3"/>
    <w:rPr>
      <w:rFonts w:cs="Times New Roman"/>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rFonts w:cs="Times New Roman"/>
        <w:b/>
        <w:bCs/>
      </w:rPr>
    </w:tblStylePr>
    <w:tblStylePr w:type="lastRow">
      <w:rPr>
        <w:rFonts w:cs="Times New Roman"/>
        <w:b/>
        <w:bCs/>
      </w:rPr>
      <w:tblPr/>
      <w:tcPr>
        <w:tcBorders>
          <w:top w:val="single" w:sz="18" w:space="0" w:color="878787"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hemeFill="accent5" w:themeFillTint="7F"/>
      </w:tcPr>
    </w:tblStylePr>
    <w:tblStylePr w:type="band1Horz">
      <w:rPr>
        <w:rFonts w:cs="Times New Roman"/>
      </w:rPr>
      <w:tblPr/>
      <w:tcPr>
        <w:shd w:val="clear" w:color="auto" w:fill="AFAFAF" w:themeFill="accent5" w:themeFillTint="7F"/>
      </w:tcPr>
    </w:tblStylePr>
  </w:style>
  <w:style w:type="table" w:styleId="MediumGrid1-Accent6">
    <w:name w:val="Medium Grid 1 Accent 6"/>
    <w:basedOn w:val="TableNormal"/>
    <w:uiPriority w:val="99"/>
    <w:semiHidden/>
    <w:rsid w:val="00E77CB3"/>
    <w:rPr>
      <w:rFonts w:cs="Times New Roman"/>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rFonts w:cs="Times New Roman"/>
        <w:b/>
        <w:bCs/>
      </w:rPr>
    </w:tblStylePr>
    <w:tblStylePr w:type="lastRow">
      <w:rPr>
        <w:rFonts w:cs="Times New Roman"/>
        <w:b/>
        <w:bCs/>
      </w:rPr>
      <w:tblPr/>
      <w:tcPr>
        <w:tcBorders>
          <w:top w:val="single" w:sz="18" w:space="0" w:color="797979"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hemeFill="accent6" w:themeFillTint="7F"/>
      </w:tcPr>
    </w:tblStylePr>
    <w:tblStylePr w:type="band1Horz">
      <w:rPr>
        <w:rFonts w:cs="Times New Roman"/>
      </w:rPr>
      <w:tblPr/>
      <w:tcPr>
        <w:shd w:val="clear" w:color="auto" w:fill="A6A6A6" w:themeFill="accent6" w:themeFillTint="7F"/>
      </w:tcPr>
    </w:tblStylePr>
  </w:style>
  <w:style w:type="table" w:styleId="MediumGrid2">
    <w:name w:val="Medium Grid 2"/>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0072BC" w:themeFill="background1"/>
      </w:tcPr>
    </w:tblStylePr>
  </w:style>
  <w:style w:type="table" w:styleId="MediumGrid2-Accent1">
    <w:name w:val="Medium Grid 2 Accent 1"/>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rFonts w:cs="Times New Roman"/>
        <w:b/>
        <w:bCs/>
        <w:color w:val="000000" w:themeColor="text1"/>
      </w:rPr>
      <w:tblPr/>
      <w:tcPr>
        <w:shd w:val="clear" w:color="auto" w:fill="DFF2FF"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rPr>
        <w:rFonts w:cs="Times New Roman"/>
      </w:rPr>
      <w:tblPr/>
      <w:tcPr>
        <w:shd w:val="clear" w:color="auto" w:fill="5EBFFF" w:themeFill="accent1" w:themeFillTint="7F"/>
      </w:tcPr>
    </w:tblStylePr>
    <w:tblStylePr w:type="band1Horz">
      <w:rPr>
        <w:rFonts w:cs="Times New Roman"/>
      </w:rPr>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rPr>
        <w:rFonts w:cs="Times New Roman"/>
      </w:rPr>
      <w:tblPr/>
      <w:tcPr>
        <w:shd w:val="clear" w:color="auto" w:fill="0072BC" w:themeFill="background1"/>
      </w:tcPr>
    </w:tblStylePr>
  </w:style>
  <w:style w:type="table" w:styleId="MediumGrid2-Accent2">
    <w:name w:val="Medium Grid 2 Accent 2"/>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rFonts w:cs="Times New Roman"/>
        <w:b/>
        <w:bCs/>
        <w:color w:val="000000" w:themeColor="text1"/>
      </w:rPr>
      <w:tblPr/>
      <w:tcPr>
        <w:shd w:val="clear" w:color="auto" w:fill="FFDFDF"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rPr>
        <w:rFonts w:cs="Times New Roman"/>
      </w:rPr>
      <w:tblPr/>
      <w:tcPr>
        <w:shd w:val="clear" w:color="auto" w:fill="FF6060" w:themeFill="accent2" w:themeFillTint="7F"/>
      </w:tcPr>
    </w:tblStylePr>
    <w:tblStylePr w:type="band1Horz">
      <w:rPr>
        <w:rFonts w:cs="Times New Roman"/>
      </w:rPr>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rPr>
        <w:rFonts w:cs="Times New Roman"/>
      </w:rPr>
      <w:tblPr/>
      <w:tcPr>
        <w:shd w:val="clear" w:color="auto" w:fill="0072BC" w:themeFill="background1"/>
      </w:tcPr>
    </w:tblStylePr>
  </w:style>
  <w:style w:type="table" w:styleId="MediumGrid2-Accent3">
    <w:name w:val="Medium Grid 2 Accent 3"/>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rFonts w:cs="Times New Roman"/>
        <w:b/>
        <w:bCs/>
        <w:color w:val="000000" w:themeColor="text1"/>
      </w:rPr>
      <w:tblPr/>
      <w:tcPr>
        <w:shd w:val="clear" w:color="auto" w:fill="EFEFEF"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rPr>
        <w:rFonts w:cs="Times New Roman"/>
      </w:rPr>
      <w:tblPr/>
      <w:tcPr>
        <w:shd w:val="clear" w:color="auto" w:fill="AFAFAF" w:themeFill="accent3" w:themeFillTint="7F"/>
      </w:tcPr>
    </w:tblStylePr>
    <w:tblStylePr w:type="band1Horz">
      <w:rPr>
        <w:rFonts w:cs="Times New Roman"/>
      </w:rPr>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rPr>
        <w:rFonts w:cs="Times New Roman"/>
      </w:rPr>
      <w:tblPr/>
      <w:tcPr>
        <w:shd w:val="clear" w:color="auto" w:fill="0072BC" w:themeFill="background1"/>
      </w:tcPr>
    </w:tblStylePr>
  </w:style>
  <w:style w:type="table" w:styleId="MediumGrid2-Accent4">
    <w:name w:val="Medium Grid 2 Accent 4"/>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rFonts w:cs="Times New Roman"/>
        <w:b/>
        <w:bCs/>
        <w:color w:val="000000" w:themeColor="text1"/>
      </w:rPr>
      <w:tblPr/>
      <w:tcPr>
        <w:shd w:val="clear" w:color="auto" w:fill="F4F4F4"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rPr>
        <w:rFonts w:cs="Times New Roman"/>
      </w:rPr>
      <w:tblPr/>
      <w:tcPr>
        <w:shd w:val="clear" w:color="auto" w:fill="CACACA" w:themeFill="accent4" w:themeFillTint="7F"/>
      </w:tcPr>
    </w:tblStylePr>
    <w:tblStylePr w:type="band1Horz">
      <w:rPr>
        <w:rFonts w:cs="Times New Roman"/>
      </w:rPr>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rPr>
        <w:rFonts w:cs="Times New Roman"/>
      </w:rPr>
      <w:tblPr/>
      <w:tcPr>
        <w:shd w:val="clear" w:color="auto" w:fill="0072BC" w:themeFill="background1"/>
      </w:tcPr>
    </w:tblStylePr>
  </w:style>
  <w:style w:type="table" w:styleId="MediumGrid2-Accent5">
    <w:name w:val="Medium Grid 2 Accent 5"/>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rFonts w:cs="Times New Roman"/>
        <w:b/>
        <w:bCs/>
        <w:color w:val="000000" w:themeColor="text1"/>
      </w:rPr>
      <w:tblPr/>
      <w:tcPr>
        <w:shd w:val="clear" w:color="auto" w:fill="EFEFEF"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rPr>
        <w:rFonts w:cs="Times New Roman"/>
      </w:rPr>
      <w:tblPr/>
      <w:tcPr>
        <w:shd w:val="clear" w:color="auto" w:fill="AFAFAF" w:themeFill="accent5" w:themeFillTint="7F"/>
      </w:tcPr>
    </w:tblStylePr>
    <w:tblStylePr w:type="band1Horz">
      <w:rPr>
        <w:rFonts w:cs="Times New Roman"/>
      </w:rPr>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rPr>
        <w:rFonts w:cs="Times New Roman"/>
      </w:rPr>
      <w:tblPr/>
      <w:tcPr>
        <w:shd w:val="clear" w:color="auto" w:fill="0072BC" w:themeFill="background1"/>
      </w:tcPr>
    </w:tblStylePr>
  </w:style>
  <w:style w:type="table" w:styleId="MediumGrid2-Accent6">
    <w:name w:val="Medium Grid 2 Accent 6"/>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rFonts w:cs="Times New Roman"/>
        <w:b/>
        <w:bCs/>
        <w:color w:val="000000" w:themeColor="text1"/>
      </w:rPr>
      <w:tblPr/>
      <w:tcPr>
        <w:shd w:val="clear" w:color="auto" w:fill="EDEDED"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rPr>
        <w:rFonts w:cs="Times New Roman"/>
      </w:rPr>
      <w:tblPr/>
      <w:tcPr>
        <w:shd w:val="clear" w:color="auto" w:fill="A6A6A6" w:themeFill="accent6" w:themeFillTint="7F"/>
      </w:tcPr>
    </w:tblStylePr>
    <w:tblStylePr w:type="band1Horz">
      <w:rPr>
        <w:rFonts w:cs="Times New Roman"/>
      </w:rPr>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rPr>
        <w:rFonts w:cs="Times New Roman"/>
      </w:rPr>
      <w:tblPr/>
      <w:tcPr>
        <w:shd w:val="clear" w:color="auto" w:fill="0072BC" w:themeFill="background1"/>
      </w:tcPr>
    </w:tblStylePr>
  </w:style>
  <w:style w:type="table" w:styleId="MediumGrid3">
    <w:name w:val="Medium Grid 3"/>
    <w:basedOn w:val="TableNormal"/>
    <w:uiPriority w:val="99"/>
    <w:semiHidden/>
    <w:rsid w:val="00E77CB3"/>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E77CB3"/>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E77CB3"/>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E77CB3"/>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E77CB3"/>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E77CB3"/>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E77CB3"/>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E77CB3"/>
    <w:rPr>
      <w:rFonts w:cs="Times New Roman"/>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C6C6C6"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99"/>
    <w:semiHidden/>
    <w:rsid w:val="00E77CB3"/>
    <w:rPr>
      <w:rFonts w:cs="Times New Roman"/>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imes New Roman"/>
      </w:rPr>
      <w:tblPr/>
      <w:tcPr>
        <w:tcBorders>
          <w:top w:val="nil"/>
          <w:bottom w:val="single" w:sz="8" w:space="0" w:color="0072BC" w:themeColor="accent1"/>
        </w:tcBorders>
      </w:tcPr>
    </w:tblStylePr>
    <w:tblStylePr w:type="lastRow">
      <w:rPr>
        <w:rFonts w:cs="Times New Roman"/>
        <w:b/>
        <w:bCs/>
        <w:color w:val="C6C6C6" w:themeColor="text2"/>
      </w:rPr>
      <w:tblPr/>
      <w:tcPr>
        <w:tcBorders>
          <w:top w:val="single" w:sz="8" w:space="0" w:color="0072BC" w:themeColor="accent1"/>
          <w:bottom w:val="single" w:sz="8" w:space="0" w:color="0072BC" w:themeColor="accent1"/>
        </w:tcBorders>
      </w:tcPr>
    </w:tblStylePr>
    <w:tblStylePr w:type="firstCol">
      <w:rPr>
        <w:rFonts w:cs="Times New Roman"/>
        <w:b/>
        <w:bCs/>
      </w:rPr>
    </w:tblStylePr>
    <w:tblStylePr w:type="lastCol">
      <w:rPr>
        <w:rFonts w:cs="Times New Roman"/>
        <w:b/>
        <w:bCs/>
      </w:rPr>
      <w:tblPr/>
      <w:tcPr>
        <w:tcBorders>
          <w:top w:val="single" w:sz="8" w:space="0" w:color="0072BC" w:themeColor="accent1"/>
          <w:bottom w:val="single" w:sz="8" w:space="0" w:color="0072BC" w:themeColor="accent1"/>
        </w:tcBorders>
      </w:tcPr>
    </w:tblStylePr>
    <w:tblStylePr w:type="band1Vert">
      <w:rPr>
        <w:rFonts w:cs="Times New Roman"/>
      </w:rPr>
      <w:tblPr/>
      <w:tcPr>
        <w:shd w:val="clear" w:color="auto" w:fill="AFDFFF" w:themeFill="accent1" w:themeFillTint="3F"/>
      </w:tcPr>
    </w:tblStylePr>
    <w:tblStylePr w:type="band1Horz">
      <w:rPr>
        <w:rFonts w:cs="Times New Roman"/>
      </w:rPr>
      <w:tblPr/>
      <w:tcPr>
        <w:shd w:val="clear" w:color="auto" w:fill="AFDFFF" w:themeFill="accent1" w:themeFillTint="3F"/>
      </w:tcPr>
    </w:tblStylePr>
  </w:style>
  <w:style w:type="table" w:styleId="MediumList1-Accent2">
    <w:name w:val="Medium List 1 Accent 2"/>
    <w:basedOn w:val="TableNormal"/>
    <w:uiPriority w:val="99"/>
    <w:semiHidden/>
    <w:rsid w:val="00E77CB3"/>
    <w:rPr>
      <w:rFonts w:cs="Times New Roman"/>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imes New Roman"/>
      </w:rPr>
      <w:tblPr/>
      <w:tcPr>
        <w:tcBorders>
          <w:top w:val="nil"/>
          <w:bottom w:val="single" w:sz="8" w:space="0" w:color="C00000" w:themeColor="accent2"/>
        </w:tcBorders>
      </w:tcPr>
    </w:tblStylePr>
    <w:tblStylePr w:type="lastRow">
      <w:rPr>
        <w:rFonts w:cs="Times New Roman"/>
        <w:b/>
        <w:bCs/>
        <w:color w:val="C6C6C6" w:themeColor="text2"/>
      </w:rPr>
      <w:tblPr/>
      <w:tcPr>
        <w:tcBorders>
          <w:top w:val="single" w:sz="8" w:space="0" w:color="C00000" w:themeColor="accent2"/>
          <w:bottom w:val="single" w:sz="8" w:space="0" w:color="C00000" w:themeColor="accent2"/>
        </w:tcBorders>
      </w:tcPr>
    </w:tblStylePr>
    <w:tblStylePr w:type="firstCol">
      <w:rPr>
        <w:rFonts w:cs="Times New Roman"/>
        <w:b/>
        <w:bCs/>
      </w:rPr>
    </w:tblStylePr>
    <w:tblStylePr w:type="lastCol">
      <w:rPr>
        <w:rFonts w:cs="Times New Roman"/>
        <w:b/>
        <w:bCs/>
      </w:rPr>
      <w:tblPr/>
      <w:tcPr>
        <w:tcBorders>
          <w:top w:val="single" w:sz="8" w:space="0" w:color="C00000" w:themeColor="accent2"/>
          <w:bottom w:val="single" w:sz="8" w:space="0" w:color="C00000" w:themeColor="accent2"/>
        </w:tcBorders>
      </w:tcPr>
    </w:tblStylePr>
    <w:tblStylePr w:type="band1Vert">
      <w:rPr>
        <w:rFonts w:cs="Times New Roman"/>
      </w:rPr>
      <w:tblPr/>
      <w:tcPr>
        <w:shd w:val="clear" w:color="auto" w:fill="FFB0B0" w:themeFill="accent2" w:themeFillTint="3F"/>
      </w:tcPr>
    </w:tblStylePr>
    <w:tblStylePr w:type="band1Horz">
      <w:rPr>
        <w:rFonts w:cs="Times New Roman"/>
      </w:rPr>
      <w:tblPr/>
      <w:tcPr>
        <w:shd w:val="clear" w:color="auto" w:fill="FFB0B0" w:themeFill="accent2" w:themeFillTint="3F"/>
      </w:tcPr>
    </w:tblStylePr>
  </w:style>
  <w:style w:type="table" w:styleId="MediumList1-Accent3">
    <w:name w:val="Medium List 1 Accent 3"/>
    <w:basedOn w:val="TableNormal"/>
    <w:uiPriority w:val="99"/>
    <w:semiHidden/>
    <w:rsid w:val="00E77CB3"/>
    <w:rPr>
      <w:rFonts w:cs="Times New Roman"/>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imes New Roman"/>
      </w:rPr>
      <w:tblPr/>
      <w:tcPr>
        <w:tcBorders>
          <w:top w:val="nil"/>
          <w:bottom w:val="single" w:sz="8" w:space="0" w:color="5F5F5F" w:themeColor="accent3"/>
        </w:tcBorders>
      </w:tcPr>
    </w:tblStylePr>
    <w:tblStylePr w:type="lastRow">
      <w:rPr>
        <w:rFonts w:cs="Times New Roman"/>
        <w:b/>
        <w:bCs/>
        <w:color w:val="C6C6C6" w:themeColor="text2"/>
      </w:rPr>
      <w:tblPr/>
      <w:tcPr>
        <w:tcBorders>
          <w:top w:val="single" w:sz="8" w:space="0" w:color="5F5F5F" w:themeColor="accent3"/>
          <w:bottom w:val="single" w:sz="8" w:space="0" w:color="5F5F5F" w:themeColor="accent3"/>
        </w:tcBorders>
      </w:tcPr>
    </w:tblStylePr>
    <w:tblStylePr w:type="firstCol">
      <w:rPr>
        <w:rFonts w:cs="Times New Roman"/>
        <w:b/>
        <w:bCs/>
      </w:rPr>
    </w:tblStylePr>
    <w:tblStylePr w:type="lastCol">
      <w:rPr>
        <w:rFonts w:cs="Times New Roman"/>
        <w:b/>
        <w:bCs/>
      </w:rPr>
      <w:tblPr/>
      <w:tcPr>
        <w:tcBorders>
          <w:top w:val="single" w:sz="8" w:space="0" w:color="5F5F5F" w:themeColor="accent3"/>
          <w:bottom w:val="single" w:sz="8" w:space="0" w:color="5F5F5F" w:themeColor="accent3"/>
        </w:tcBorders>
      </w:tcPr>
    </w:tblStylePr>
    <w:tblStylePr w:type="band1Vert">
      <w:rPr>
        <w:rFonts w:cs="Times New Roman"/>
      </w:rPr>
      <w:tblPr/>
      <w:tcPr>
        <w:shd w:val="clear" w:color="auto" w:fill="D7D7D7" w:themeFill="accent3" w:themeFillTint="3F"/>
      </w:tcPr>
    </w:tblStylePr>
    <w:tblStylePr w:type="band1Horz">
      <w:rPr>
        <w:rFonts w:cs="Times New Roman"/>
      </w:rPr>
      <w:tblPr/>
      <w:tcPr>
        <w:shd w:val="clear" w:color="auto" w:fill="D7D7D7" w:themeFill="accent3" w:themeFillTint="3F"/>
      </w:tcPr>
    </w:tblStylePr>
  </w:style>
  <w:style w:type="table" w:styleId="MediumList1-Accent4">
    <w:name w:val="Medium List 1 Accent 4"/>
    <w:basedOn w:val="TableNormal"/>
    <w:uiPriority w:val="99"/>
    <w:semiHidden/>
    <w:rsid w:val="00E77CB3"/>
    <w:rPr>
      <w:rFonts w:cs="Times New Roman"/>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imes New Roman"/>
      </w:rPr>
      <w:tblPr/>
      <w:tcPr>
        <w:tcBorders>
          <w:top w:val="nil"/>
          <w:bottom w:val="single" w:sz="8" w:space="0" w:color="969696" w:themeColor="accent4"/>
        </w:tcBorders>
      </w:tcPr>
    </w:tblStylePr>
    <w:tblStylePr w:type="lastRow">
      <w:rPr>
        <w:rFonts w:cs="Times New Roman"/>
        <w:b/>
        <w:bCs/>
        <w:color w:val="C6C6C6" w:themeColor="text2"/>
      </w:rPr>
      <w:tblPr/>
      <w:tcPr>
        <w:tcBorders>
          <w:top w:val="single" w:sz="8" w:space="0" w:color="969696" w:themeColor="accent4"/>
          <w:bottom w:val="single" w:sz="8" w:space="0" w:color="969696" w:themeColor="accent4"/>
        </w:tcBorders>
      </w:tcPr>
    </w:tblStylePr>
    <w:tblStylePr w:type="firstCol">
      <w:rPr>
        <w:rFonts w:cs="Times New Roman"/>
        <w:b/>
        <w:bCs/>
      </w:rPr>
    </w:tblStylePr>
    <w:tblStylePr w:type="lastCol">
      <w:rPr>
        <w:rFonts w:cs="Times New Roman"/>
        <w:b/>
        <w:bCs/>
      </w:rPr>
      <w:tblPr/>
      <w:tcPr>
        <w:tcBorders>
          <w:top w:val="single" w:sz="8" w:space="0" w:color="969696" w:themeColor="accent4"/>
          <w:bottom w:val="single" w:sz="8" w:space="0" w:color="969696" w:themeColor="accent4"/>
        </w:tcBorders>
      </w:tcPr>
    </w:tblStylePr>
    <w:tblStylePr w:type="band1Vert">
      <w:rPr>
        <w:rFonts w:cs="Times New Roman"/>
      </w:rPr>
      <w:tblPr/>
      <w:tcPr>
        <w:shd w:val="clear" w:color="auto" w:fill="E5E5E5" w:themeFill="accent4" w:themeFillTint="3F"/>
      </w:tcPr>
    </w:tblStylePr>
    <w:tblStylePr w:type="band1Horz">
      <w:rPr>
        <w:rFonts w:cs="Times New Roman"/>
      </w:rPr>
      <w:tblPr/>
      <w:tcPr>
        <w:shd w:val="clear" w:color="auto" w:fill="E5E5E5" w:themeFill="accent4" w:themeFillTint="3F"/>
      </w:tcPr>
    </w:tblStylePr>
  </w:style>
  <w:style w:type="table" w:styleId="MediumList1-Accent5">
    <w:name w:val="Medium List 1 Accent 5"/>
    <w:basedOn w:val="TableNormal"/>
    <w:uiPriority w:val="99"/>
    <w:semiHidden/>
    <w:rsid w:val="00E77CB3"/>
    <w:rPr>
      <w:rFonts w:cs="Times New Roman"/>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imes New Roman"/>
      </w:rPr>
      <w:tblPr/>
      <w:tcPr>
        <w:tcBorders>
          <w:top w:val="nil"/>
          <w:bottom w:val="single" w:sz="8" w:space="0" w:color="5F5F5F" w:themeColor="accent5"/>
        </w:tcBorders>
      </w:tcPr>
    </w:tblStylePr>
    <w:tblStylePr w:type="lastRow">
      <w:rPr>
        <w:rFonts w:cs="Times New Roman"/>
        <w:b/>
        <w:bCs/>
        <w:color w:val="C6C6C6" w:themeColor="text2"/>
      </w:rPr>
      <w:tblPr/>
      <w:tcPr>
        <w:tcBorders>
          <w:top w:val="single" w:sz="8" w:space="0" w:color="5F5F5F" w:themeColor="accent5"/>
          <w:bottom w:val="single" w:sz="8" w:space="0" w:color="5F5F5F" w:themeColor="accent5"/>
        </w:tcBorders>
      </w:tcPr>
    </w:tblStylePr>
    <w:tblStylePr w:type="firstCol">
      <w:rPr>
        <w:rFonts w:cs="Times New Roman"/>
        <w:b/>
        <w:bCs/>
      </w:rPr>
    </w:tblStylePr>
    <w:tblStylePr w:type="lastCol">
      <w:rPr>
        <w:rFonts w:cs="Times New Roman"/>
        <w:b/>
        <w:bCs/>
      </w:rPr>
      <w:tblPr/>
      <w:tcPr>
        <w:tcBorders>
          <w:top w:val="single" w:sz="8" w:space="0" w:color="5F5F5F" w:themeColor="accent5"/>
          <w:bottom w:val="single" w:sz="8" w:space="0" w:color="5F5F5F" w:themeColor="accent5"/>
        </w:tcBorders>
      </w:tcPr>
    </w:tblStylePr>
    <w:tblStylePr w:type="band1Vert">
      <w:rPr>
        <w:rFonts w:cs="Times New Roman"/>
      </w:rPr>
      <w:tblPr/>
      <w:tcPr>
        <w:shd w:val="clear" w:color="auto" w:fill="D7D7D7" w:themeFill="accent5" w:themeFillTint="3F"/>
      </w:tcPr>
    </w:tblStylePr>
    <w:tblStylePr w:type="band1Horz">
      <w:rPr>
        <w:rFonts w:cs="Times New Roman"/>
      </w:rPr>
      <w:tblPr/>
      <w:tcPr>
        <w:shd w:val="clear" w:color="auto" w:fill="D7D7D7" w:themeFill="accent5" w:themeFillTint="3F"/>
      </w:tcPr>
    </w:tblStylePr>
  </w:style>
  <w:style w:type="table" w:styleId="MediumList1-Accent6">
    <w:name w:val="Medium List 1 Accent 6"/>
    <w:basedOn w:val="TableNormal"/>
    <w:uiPriority w:val="99"/>
    <w:semiHidden/>
    <w:rsid w:val="00E77CB3"/>
    <w:rPr>
      <w:rFonts w:cs="Times New Roman"/>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imes New Roman"/>
      </w:rPr>
      <w:tblPr/>
      <w:tcPr>
        <w:tcBorders>
          <w:top w:val="nil"/>
          <w:bottom w:val="single" w:sz="8" w:space="0" w:color="4D4D4D" w:themeColor="accent6"/>
        </w:tcBorders>
      </w:tcPr>
    </w:tblStylePr>
    <w:tblStylePr w:type="lastRow">
      <w:rPr>
        <w:rFonts w:cs="Times New Roman"/>
        <w:b/>
        <w:bCs/>
        <w:color w:val="C6C6C6" w:themeColor="text2"/>
      </w:rPr>
      <w:tblPr/>
      <w:tcPr>
        <w:tcBorders>
          <w:top w:val="single" w:sz="8" w:space="0" w:color="4D4D4D" w:themeColor="accent6"/>
          <w:bottom w:val="single" w:sz="8" w:space="0" w:color="4D4D4D" w:themeColor="accent6"/>
        </w:tcBorders>
      </w:tcPr>
    </w:tblStylePr>
    <w:tblStylePr w:type="firstCol">
      <w:rPr>
        <w:rFonts w:cs="Times New Roman"/>
        <w:b/>
        <w:bCs/>
      </w:rPr>
    </w:tblStylePr>
    <w:tblStylePr w:type="lastCol">
      <w:rPr>
        <w:rFonts w:cs="Times New Roman"/>
        <w:b/>
        <w:bCs/>
      </w:rPr>
      <w:tblPr/>
      <w:tcPr>
        <w:tcBorders>
          <w:top w:val="single" w:sz="8" w:space="0" w:color="4D4D4D" w:themeColor="accent6"/>
          <w:bottom w:val="single" w:sz="8" w:space="0" w:color="4D4D4D" w:themeColor="accent6"/>
        </w:tcBorders>
      </w:tcPr>
    </w:tblStylePr>
    <w:tblStylePr w:type="band1Vert">
      <w:rPr>
        <w:rFonts w:cs="Times New Roman"/>
      </w:rPr>
      <w:tblPr/>
      <w:tcPr>
        <w:shd w:val="clear" w:color="auto" w:fill="D3D3D3" w:themeFill="accent6" w:themeFillTint="3F"/>
      </w:tcPr>
    </w:tblStylePr>
    <w:tblStylePr w:type="band1Horz">
      <w:rPr>
        <w:rFonts w:cs="Times New Roman"/>
      </w:rPr>
      <w:tblPr/>
      <w:tcPr>
        <w:shd w:val="clear" w:color="auto" w:fill="D3D3D3" w:themeFill="accent6" w:themeFillTint="3F"/>
      </w:tcPr>
    </w:tblStylePr>
  </w:style>
  <w:style w:type="table" w:styleId="MediumList2">
    <w:name w:val="Medium List 2"/>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rPr>
        <w:rFonts w:cs="Times New Roman"/>
      </w:rPr>
      <w:tblPr/>
      <w:tcPr>
        <w:tcBorders>
          <w:top w:val="single" w:sz="8" w:space="0" w:color="000000" w:themeColor="text1"/>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0072BC"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rFonts w:cs="Times New Roman"/>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rPr>
        <w:rFonts w:cs="Times New Roman"/>
      </w:rPr>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rPr>
        <w:rFonts w:cs="Times New Roman"/>
      </w:rPr>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AFDFFF" w:themeFill="accent1" w:themeFillTint="3F"/>
      </w:tcPr>
    </w:tblStylePr>
    <w:tblStylePr w:type="band1Horz">
      <w:rPr>
        <w:rFonts w:cs="Times New Roman"/>
      </w:rPr>
      <w:tblPr/>
      <w:tcPr>
        <w:tcBorders>
          <w:top w:val="nil"/>
          <w:bottom w:val="nil"/>
          <w:insideH w:val="nil"/>
          <w:insideV w:val="nil"/>
        </w:tcBorders>
        <w:shd w:val="clear" w:color="auto" w:fill="AFDFFF" w:themeFill="accent1"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rFonts w:cs="Times New Roman"/>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rFonts w:cs="Times New Roman"/>
      </w:rPr>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rPr>
        <w:rFonts w:cs="Times New Roman"/>
      </w:rPr>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FFB0B0" w:themeFill="accent2" w:themeFillTint="3F"/>
      </w:tcPr>
    </w:tblStylePr>
    <w:tblStylePr w:type="band1Horz">
      <w:rPr>
        <w:rFonts w:cs="Times New Roman"/>
      </w:rPr>
      <w:tblPr/>
      <w:tcPr>
        <w:tcBorders>
          <w:top w:val="nil"/>
          <w:bottom w:val="nil"/>
          <w:insideH w:val="nil"/>
          <w:insideV w:val="nil"/>
        </w:tcBorders>
        <w:shd w:val="clear" w:color="auto" w:fill="FFB0B0" w:themeFill="accent2"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rFonts w:cs="Times New Roman"/>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rFonts w:cs="Times New Roman"/>
      </w:rPr>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rPr>
        <w:rFonts w:cs="Times New Roman"/>
      </w:rPr>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D7D7D7" w:themeFill="accent3" w:themeFillTint="3F"/>
      </w:tcPr>
    </w:tblStylePr>
    <w:tblStylePr w:type="band1Horz">
      <w:rPr>
        <w:rFonts w:cs="Times New Roman"/>
      </w:rPr>
      <w:tblPr/>
      <w:tcPr>
        <w:tcBorders>
          <w:top w:val="nil"/>
          <w:bottom w:val="nil"/>
          <w:insideH w:val="nil"/>
          <w:insideV w:val="nil"/>
        </w:tcBorders>
        <w:shd w:val="clear" w:color="auto" w:fill="D7D7D7" w:themeFill="accent3"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rFonts w:cs="Times New Roman"/>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rFonts w:cs="Times New Roman"/>
      </w:rPr>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rPr>
        <w:rFonts w:cs="Times New Roman"/>
      </w:rPr>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E5E5E5" w:themeFill="accent4" w:themeFillTint="3F"/>
      </w:tcPr>
    </w:tblStylePr>
    <w:tblStylePr w:type="band1Horz">
      <w:rPr>
        <w:rFonts w:cs="Times New Roman"/>
      </w:rPr>
      <w:tblPr/>
      <w:tcPr>
        <w:tcBorders>
          <w:top w:val="nil"/>
          <w:bottom w:val="nil"/>
          <w:insideH w:val="nil"/>
          <w:insideV w:val="nil"/>
        </w:tcBorders>
        <w:shd w:val="clear" w:color="auto" w:fill="E5E5E5" w:themeFill="accent4"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rFonts w:cs="Times New Roman"/>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rFonts w:cs="Times New Roman"/>
      </w:rPr>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rPr>
        <w:rFonts w:cs="Times New Roman"/>
      </w:rPr>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D7D7D7" w:themeFill="accent5" w:themeFillTint="3F"/>
      </w:tcPr>
    </w:tblStylePr>
    <w:tblStylePr w:type="band1Horz">
      <w:rPr>
        <w:rFonts w:cs="Times New Roman"/>
      </w:rPr>
      <w:tblPr/>
      <w:tcPr>
        <w:tcBorders>
          <w:top w:val="nil"/>
          <w:bottom w:val="nil"/>
          <w:insideH w:val="nil"/>
          <w:insideV w:val="nil"/>
        </w:tcBorders>
        <w:shd w:val="clear" w:color="auto" w:fill="D7D7D7" w:themeFill="accent5"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E77CB3"/>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rFonts w:cs="Times New Roman"/>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rFonts w:cs="Times New Roman"/>
      </w:rPr>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rPr>
        <w:rFonts w:cs="Times New Roman"/>
      </w:rPr>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D3D3D3" w:themeFill="accent6" w:themeFillTint="3F"/>
      </w:tcPr>
    </w:tblStylePr>
    <w:tblStylePr w:type="band1Horz">
      <w:rPr>
        <w:rFonts w:cs="Times New Roman"/>
      </w:rPr>
      <w:tblPr/>
      <w:tcPr>
        <w:tcBorders>
          <w:top w:val="nil"/>
          <w:bottom w:val="nil"/>
          <w:insideH w:val="nil"/>
          <w:insideV w:val="nil"/>
        </w:tcBorders>
        <w:shd w:val="clear" w:color="auto" w:fill="D3D3D3" w:themeFill="accent6"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99"/>
    <w:semiHidden/>
    <w:rsid w:val="00E77CB3"/>
    <w:rPr>
      <w:rFonts w:cs="Times New Roman"/>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semiHidden/>
    <w:rsid w:val="00E77CB3"/>
    <w:rPr>
      <w:rFonts w:cs="Times New Roman"/>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pPr>
      <w:rPr>
        <w:rFonts w:cs="Times New Roman"/>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pPr>
      <w:rPr>
        <w:rFonts w:cs="Times New Roman"/>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hemeFill="accent1" w:themeFillTint="3F"/>
      </w:tcPr>
    </w:tblStylePr>
    <w:tblStylePr w:type="band1Horz">
      <w:rPr>
        <w:rFonts w:cs="Times New Roman"/>
      </w:rPr>
      <w:tblPr/>
      <w:tcPr>
        <w:tcBorders>
          <w:insideH w:val="nil"/>
          <w:insideV w:val="nil"/>
        </w:tcBorders>
        <w:shd w:val="clear" w:color="auto" w:fill="AFDFFF"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semiHidden/>
    <w:rsid w:val="00E77CB3"/>
    <w:rPr>
      <w:rFonts w:cs="Times New Roman"/>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pPr>
      <w:rPr>
        <w:rFonts w:cs="Times New Roman"/>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pPr>
      <w:rPr>
        <w:rFonts w:cs="Times New Roman"/>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hemeFill="accent2" w:themeFillTint="3F"/>
      </w:tcPr>
    </w:tblStylePr>
    <w:tblStylePr w:type="band1Horz">
      <w:rPr>
        <w:rFonts w:cs="Times New Roman"/>
      </w:rPr>
      <w:tblPr/>
      <w:tcPr>
        <w:tcBorders>
          <w:insideH w:val="nil"/>
          <w:insideV w:val="nil"/>
        </w:tcBorders>
        <w:shd w:val="clear" w:color="auto" w:fill="FFB0B0"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E77CB3"/>
    <w:rPr>
      <w:rFonts w:cs="Times New Roman"/>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pPr>
      <w:rPr>
        <w:rFonts w:cs="Times New Roman"/>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pPr>
      <w:rPr>
        <w:rFonts w:cs="Times New Roman"/>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hemeFill="accent3" w:themeFillTint="3F"/>
      </w:tcPr>
    </w:tblStylePr>
    <w:tblStylePr w:type="band1Horz">
      <w:rPr>
        <w:rFonts w:cs="Times New Roman"/>
      </w:rPr>
      <w:tblPr/>
      <w:tcPr>
        <w:tcBorders>
          <w:insideH w:val="nil"/>
          <w:insideV w:val="nil"/>
        </w:tcBorders>
        <w:shd w:val="clear" w:color="auto" w:fill="D7D7D7"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E77CB3"/>
    <w:rPr>
      <w:rFonts w:cs="Times New Roman"/>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pPr>
      <w:rPr>
        <w:rFonts w:cs="Times New Roman"/>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pPr>
      <w:rPr>
        <w:rFonts w:cs="Times New Roman"/>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hemeFill="accent4" w:themeFillTint="3F"/>
      </w:tcPr>
    </w:tblStylePr>
    <w:tblStylePr w:type="band1Horz">
      <w:rPr>
        <w:rFonts w:cs="Times New Roman"/>
      </w:rPr>
      <w:tblPr/>
      <w:tcPr>
        <w:tcBorders>
          <w:insideH w:val="nil"/>
          <w:insideV w:val="nil"/>
        </w:tcBorders>
        <w:shd w:val="clear" w:color="auto" w:fill="E5E5E5"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E77CB3"/>
    <w:rPr>
      <w:rFonts w:cs="Times New Roman"/>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pPr>
      <w:rPr>
        <w:rFonts w:cs="Times New Roman"/>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pPr>
      <w:rPr>
        <w:rFonts w:cs="Times New Roman"/>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hemeFill="accent5" w:themeFillTint="3F"/>
      </w:tcPr>
    </w:tblStylePr>
    <w:tblStylePr w:type="band1Horz">
      <w:rPr>
        <w:rFonts w:cs="Times New Roman"/>
      </w:rPr>
      <w:tblPr/>
      <w:tcPr>
        <w:tcBorders>
          <w:insideH w:val="nil"/>
          <w:insideV w:val="nil"/>
        </w:tcBorders>
        <w:shd w:val="clear" w:color="auto" w:fill="D7D7D7"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E77CB3"/>
    <w:rPr>
      <w:rFonts w:cs="Times New Roman"/>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pPr>
      <w:rPr>
        <w:rFonts w:cs="Times New Roman"/>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pPr>
      <w:rPr>
        <w:rFonts w:cs="Times New Roman"/>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hemeFill="accent6" w:themeFillTint="3F"/>
      </w:tcPr>
    </w:tblStylePr>
    <w:tblStylePr w:type="band1Horz">
      <w:rPr>
        <w:rFonts w:cs="Times New Roman"/>
      </w:rPr>
      <w:tblPr/>
      <w:tcPr>
        <w:tcBorders>
          <w:insideH w:val="nil"/>
          <w:insideV w:val="nil"/>
        </w:tcBorders>
        <w:shd w:val="clear" w:color="auto" w:fill="D3D3D3"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semiHidden/>
    <w:rsid w:val="00E77CB3"/>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rFonts w:cs="Times New Roman"/>
        <w:b/>
        <w:bCs/>
        <w:color w:val="0072BC"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E77CB3"/>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rFonts w:cs="Times New Roman"/>
        <w:b/>
        <w:bCs/>
        <w:color w:val="0072BC" w:themeColor="background1"/>
      </w:rPr>
      <w:tblPr/>
      <w:tcPr>
        <w:tcBorders>
          <w:left w:val="nil"/>
          <w:right w:val="nil"/>
          <w:insideH w:val="nil"/>
          <w:insideV w:val="nil"/>
        </w:tcBorders>
        <w:shd w:val="clear" w:color="auto" w:fill="0072BC" w:themeFill="accent1"/>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E77CB3"/>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rFonts w:cs="Times New Roman"/>
        <w:b/>
        <w:bCs/>
        <w:color w:val="0072BC" w:themeColor="background1"/>
      </w:rPr>
      <w:tblPr/>
      <w:tcPr>
        <w:tcBorders>
          <w:left w:val="nil"/>
          <w:right w:val="nil"/>
          <w:insideH w:val="nil"/>
          <w:insideV w:val="nil"/>
        </w:tcBorders>
        <w:shd w:val="clear" w:color="auto" w:fill="C00000" w:themeFill="accent2"/>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E77CB3"/>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rFonts w:cs="Times New Roman"/>
        <w:b/>
        <w:bCs/>
        <w:color w:val="0072BC" w:themeColor="background1"/>
      </w:rPr>
      <w:tblPr/>
      <w:tcPr>
        <w:tcBorders>
          <w:left w:val="nil"/>
          <w:right w:val="nil"/>
          <w:insideH w:val="nil"/>
          <w:insideV w:val="nil"/>
        </w:tcBorders>
        <w:shd w:val="clear" w:color="auto" w:fill="5F5F5F" w:themeFill="accent3"/>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E77CB3"/>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rFonts w:cs="Times New Roman"/>
        <w:b/>
        <w:bCs/>
        <w:color w:val="0072BC" w:themeColor="background1"/>
      </w:rPr>
      <w:tblPr/>
      <w:tcPr>
        <w:tcBorders>
          <w:left w:val="nil"/>
          <w:right w:val="nil"/>
          <w:insideH w:val="nil"/>
          <w:insideV w:val="nil"/>
        </w:tcBorders>
        <w:shd w:val="clear" w:color="auto" w:fill="969696" w:themeFill="accent4"/>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E77CB3"/>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rFonts w:cs="Times New Roman"/>
        <w:b/>
        <w:bCs/>
        <w:color w:val="0072BC" w:themeColor="background1"/>
      </w:rPr>
      <w:tblPr/>
      <w:tcPr>
        <w:tcBorders>
          <w:left w:val="nil"/>
          <w:right w:val="nil"/>
          <w:insideH w:val="nil"/>
          <w:insideV w:val="nil"/>
        </w:tcBorders>
        <w:shd w:val="clear" w:color="auto" w:fill="5F5F5F" w:themeFill="accent5"/>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E77CB3"/>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rFonts w:cs="Times New Roman"/>
        <w:b/>
        <w:bCs/>
        <w:color w:val="0072BC" w:themeColor="background1"/>
      </w:rPr>
      <w:tblPr/>
      <w:tcPr>
        <w:tcBorders>
          <w:left w:val="nil"/>
          <w:right w:val="nil"/>
          <w:insideH w:val="nil"/>
          <w:insideV w:val="nil"/>
        </w:tcBorders>
        <w:shd w:val="clear" w:color="auto" w:fill="4D4D4D" w:themeFill="accent6"/>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E77C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szCs w:val="24"/>
    </w:rPr>
  </w:style>
  <w:style w:type="character" w:customStyle="1" w:styleId="MessageHeaderChar">
    <w:name w:val="Message Header Char"/>
    <w:basedOn w:val="DefaultParagraphFont"/>
    <w:link w:val="MessageHeader"/>
    <w:uiPriority w:val="99"/>
    <w:semiHidden/>
    <w:locked/>
    <w:rsid w:val="00E77CB3"/>
    <w:rPr>
      <w:rFonts w:asciiTheme="majorHAnsi" w:eastAsiaTheme="majorEastAsia" w:hAnsiTheme="majorHAnsi" w:cs="Times New Roman"/>
      <w:sz w:val="24"/>
      <w:szCs w:val="24"/>
      <w:shd w:val="pct20" w:color="auto" w:fill="auto"/>
    </w:rPr>
  </w:style>
  <w:style w:type="paragraph" w:styleId="NormalWeb">
    <w:name w:val="Normal (Web)"/>
    <w:basedOn w:val="Normal"/>
    <w:uiPriority w:val="99"/>
    <w:semiHidden/>
    <w:rsid w:val="00E77CB3"/>
    <w:rPr>
      <w:rFonts w:ascii="Times New Roman" w:hAnsi="Times New Roman"/>
      <w:szCs w:val="24"/>
    </w:rPr>
  </w:style>
  <w:style w:type="paragraph" w:styleId="NormalIndent">
    <w:name w:val="Normal Indent"/>
    <w:basedOn w:val="Normal"/>
    <w:uiPriority w:val="99"/>
    <w:semiHidden/>
    <w:rsid w:val="00E77CB3"/>
    <w:pPr>
      <w:ind w:left="720"/>
    </w:pPr>
  </w:style>
  <w:style w:type="paragraph" w:styleId="NoteHeading">
    <w:name w:val="Note Heading"/>
    <w:basedOn w:val="Normal"/>
    <w:next w:val="Normal"/>
    <w:link w:val="NoteHeadingChar"/>
    <w:uiPriority w:val="99"/>
    <w:semiHidden/>
    <w:rsid w:val="00E77CB3"/>
  </w:style>
  <w:style w:type="character" w:customStyle="1" w:styleId="NoteHeadingChar">
    <w:name w:val="Note Heading Char"/>
    <w:basedOn w:val="DefaultParagraphFont"/>
    <w:link w:val="NoteHeading"/>
    <w:uiPriority w:val="99"/>
    <w:semiHidden/>
    <w:locked/>
    <w:rsid w:val="00E77CB3"/>
    <w:rPr>
      <w:rFonts w:eastAsiaTheme="minorEastAsia" w:cs="Times New Roman"/>
      <w:sz w:val="24"/>
    </w:rPr>
  </w:style>
  <w:style w:type="character" w:styleId="PlaceholderText">
    <w:name w:val="Placeholder Text"/>
    <w:basedOn w:val="DefaultParagraphFont"/>
    <w:uiPriority w:val="99"/>
    <w:semiHidden/>
    <w:rsid w:val="00E77CB3"/>
    <w:rPr>
      <w:rFonts w:cs="Times New Roman"/>
      <w:color w:val="808080"/>
    </w:rPr>
  </w:style>
  <w:style w:type="paragraph" w:styleId="PlainText">
    <w:name w:val="Plain Text"/>
    <w:basedOn w:val="Normal"/>
    <w:link w:val="PlainTextChar"/>
    <w:uiPriority w:val="99"/>
    <w:semiHidden/>
    <w:rsid w:val="00E77CB3"/>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E77CB3"/>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E77CB3"/>
  </w:style>
  <w:style w:type="character" w:customStyle="1" w:styleId="SalutationChar">
    <w:name w:val="Salutation Char"/>
    <w:basedOn w:val="DefaultParagraphFont"/>
    <w:link w:val="Salutation"/>
    <w:uiPriority w:val="99"/>
    <w:semiHidden/>
    <w:locked/>
    <w:rsid w:val="00E77CB3"/>
    <w:rPr>
      <w:rFonts w:eastAsiaTheme="minorEastAsia" w:cs="Times New Roman"/>
      <w:sz w:val="24"/>
    </w:rPr>
  </w:style>
  <w:style w:type="paragraph" w:styleId="Signature">
    <w:name w:val="Signature"/>
    <w:basedOn w:val="Normal"/>
    <w:link w:val="SignatureChar"/>
    <w:uiPriority w:val="99"/>
    <w:semiHidden/>
    <w:rsid w:val="00E77CB3"/>
    <w:pPr>
      <w:ind w:left="4252"/>
    </w:pPr>
  </w:style>
  <w:style w:type="character" w:customStyle="1" w:styleId="SignatureChar">
    <w:name w:val="Signature Char"/>
    <w:basedOn w:val="DefaultParagraphFont"/>
    <w:link w:val="Signature"/>
    <w:uiPriority w:val="99"/>
    <w:semiHidden/>
    <w:locked/>
    <w:rsid w:val="00E77CB3"/>
    <w:rPr>
      <w:rFonts w:eastAsiaTheme="minorEastAsia" w:cs="Times New Roman"/>
      <w:sz w:val="24"/>
    </w:rPr>
  </w:style>
  <w:style w:type="table" w:styleId="Table3Deffects1">
    <w:name w:val="Table 3D effects 1"/>
    <w:basedOn w:val="TableNormal"/>
    <w:uiPriority w:val="99"/>
    <w:semiHidden/>
    <w:rsid w:val="00E77CB3"/>
    <w:pPr>
      <w:jc w:val="both"/>
    </w:pPr>
    <w:rPr>
      <w:rFonts w:cs="Times New Roman"/>
      <w:lang w:val="fr-FR" w:eastAsia="fr-FR"/>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77CB3"/>
    <w:pPr>
      <w:jc w:val="both"/>
    </w:pPr>
    <w:rPr>
      <w:rFonts w:cs="Times New Roman"/>
      <w:lang w:val="fr-FR" w:eastAsia="fr-FR"/>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77CB3"/>
    <w:pPr>
      <w:jc w:val="both"/>
    </w:pPr>
    <w:rPr>
      <w:rFonts w:cs="Times New Roman"/>
      <w:lang w:val="fr-FR" w:eastAsia="fr-FR"/>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77CB3"/>
    <w:pPr>
      <w:jc w:val="both"/>
    </w:pPr>
    <w:rPr>
      <w:rFonts w:cs="Times New Roman"/>
      <w:lang w:val="fr-FR" w:eastAsia="fr-F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77CB3"/>
    <w:pPr>
      <w:jc w:val="both"/>
    </w:pPr>
    <w:rPr>
      <w:rFonts w:cs="Times New Roman"/>
      <w:lang w:val="fr-FR" w:eastAsia="fr-FR"/>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77CB3"/>
    <w:pPr>
      <w:jc w:val="both"/>
    </w:pPr>
    <w:rPr>
      <w:rFonts w:cs="Times New Roman"/>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77CB3"/>
    <w:pPr>
      <w:jc w:val="both"/>
    </w:pPr>
    <w:rPr>
      <w:rFonts w:cs="Times New Roman"/>
      <w:lang w:val="fr-FR" w:eastAsia="fr-F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77CB3"/>
    <w:pPr>
      <w:jc w:val="both"/>
    </w:pPr>
    <w:rPr>
      <w:rFonts w:cs="Times New Roman"/>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77CB3"/>
    <w:pPr>
      <w:jc w:val="both"/>
    </w:pPr>
    <w:rPr>
      <w:rFonts w:cs="Times New Roman"/>
      <w:lang w:val="fr-FR" w:eastAsia="fr-FR"/>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77CB3"/>
    <w:pPr>
      <w:jc w:val="both"/>
    </w:pPr>
    <w:rPr>
      <w:rFonts w:cs="Times New Roman"/>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77CB3"/>
    <w:pPr>
      <w:jc w:val="both"/>
    </w:pPr>
    <w:rPr>
      <w:rFonts w:cs="Times New Roman"/>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77CB3"/>
    <w:pPr>
      <w:jc w:val="both"/>
    </w:pPr>
    <w:rPr>
      <w:rFonts w:cs="Times New Roman"/>
      <w:b/>
      <w:bCs/>
      <w:lang w:val="fr-FR" w:eastAsia="fr-FR"/>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77CB3"/>
    <w:pPr>
      <w:jc w:val="both"/>
    </w:pPr>
    <w:rPr>
      <w:rFonts w:cs="Times New Roman"/>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77CB3"/>
    <w:pPr>
      <w:jc w:val="both"/>
    </w:pPr>
    <w:rPr>
      <w:rFonts w:cs="Times New Roman"/>
      <w:lang w:val="fr-FR" w:eastAsia="fr-FR"/>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E77CB3"/>
    <w:pPr>
      <w:jc w:val="both"/>
    </w:pPr>
    <w:rPr>
      <w:rFonts w:cs="Times New Roman"/>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E77CB3"/>
    <w:pPr>
      <w:jc w:val="both"/>
    </w:pPr>
    <w:rPr>
      <w:rFonts w:cs="Times New Roman"/>
      <w:lang w:val="fr-FR" w:eastAsia="fr-FR"/>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77CB3"/>
    <w:pPr>
      <w:jc w:val="both"/>
    </w:pPr>
    <w:rPr>
      <w:rFonts w:cs="Times New Roman"/>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E77CB3"/>
    <w:pPr>
      <w:jc w:val="both"/>
    </w:pPr>
    <w:rPr>
      <w:rFonts w:cs="Times New Roman"/>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77CB3"/>
    <w:pPr>
      <w:jc w:val="both"/>
    </w:pPr>
    <w:rPr>
      <w:rFonts w:cs="Times New Roman"/>
      <w:lang w:val="fr-FR" w:eastAsia="fr-FR"/>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77CB3"/>
    <w:pPr>
      <w:jc w:val="both"/>
    </w:pPr>
    <w:rPr>
      <w:rFonts w:cs="Times New Roman"/>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77CB3"/>
    <w:pPr>
      <w:jc w:val="both"/>
    </w:pPr>
    <w:rPr>
      <w:rFonts w:cs="Times New Roman"/>
      <w:lang w:val="fr-FR" w:eastAsia="fr-FR"/>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77CB3"/>
    <w:pPr>
      <w:jc w:val="both"/>
    </w:pPr>
    <w:rPr>
      <w:rFonts w:cs="Times New Roman"/>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E77CB3"/>
    <w:pPr>
      <w:jc w:val="both"/>
    </w:pPr>
    <w:rPr>
      <w:rFonts w:cs="Times New Roman"/>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E77CB3"/>
    <w:pPr>
      <w:jc w:val="both"/>
    </w:pPr>
    <w:rPr>
      <w:rFonts w:cs="Times New Roman"/>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E77CB3"/>
    <w:pPr>
      <w:jc w:val="both"/>
    </w:pPr>
    <w:rPr>
      <w:rFonts w:cs="Times New Roman"/>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77CB3"/>
    <w:pPr>
      <w:jc w:val="both"/>
    </w:pPr>
    <w:rPr>
      <w:rFonts w:cs="Times New Roman"/>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77CB3"/>
    <w:pPr>
      <w:jc w:val="both"/>
    </w:pPr>
    <w:rPr>
      <w:rFonts w:cs="Times New Roman"/>
      <w:lang w:val="fr-FR" w:eastAsia="fr-FR"/>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77CB3"/>
    <w:pPr>
      <w:jc w:val="both"/>
    </w:pPr>
    <w:rPr>
      <w:rFonts w:cs="Times New Roman"/>
      <w:lang w:val="fr-FR" w:eastAsia="fr-F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77CB3"/>
    <w:pPr>
      <w:jc w:val="both"/>
    </w:pPr>
    <w:rPr>
      <w:rFonts w:cs="Times New Roman"/>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77CB3"/>
    <w:pPr>
      <w:jc w:val="both"/>
    </w:pPr>
    <w:rPr>
      <w:rFonts w:cs="Times New Roman"/>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77CB3"/>
    <w:pPr>
      <w:jc w:val="both"/>
    </w:pPr>
    <w:rPr>
      <w:rFonts w:cs="Times New Roman"/>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77CB3"/>
    <w:pPr>
      <w:jc w:val="both"/>
    </w:pPr>
    <w:rPr>
      <w:rFonts w:cs="Times New Roman"/>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77CB3"/>
    <w:pPr>
      <w:jc w:val="both"/>
    </w:pPr>
    <w:rPr>
      <w:rFonts w:cs="Times New Roman"/>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77CB3"/>
    <w:pPr>
      <w:ind w:left="240" w:hanging="240"/>
    </w:pPr>
  </w:style>
  <w:style w:type="paragraph" w:styleId="TableofFigures">
    <w:name w:val="table of figures"/>
    <w:basedOn w:val="Normal"/>
    <w:next w:val="Normal"/>
    <w:uiPriority w:val="99"/>
    <w:semiHidden/>
    <w:rsid w:val="00E77CB3"/>
  </w:style>
  <w:style w:type="table" w:styleId="TableProfessional">
    <w:name w:val="Table Professional"/>
    <w:basedOn w:val="TableNormal"/>
    <w:uiPriority w:val="99"/>
    <w:semiHidden/>
    <w:rsid w:val="00E77CB3"/>
    <w:pPr>
      <w:jc w:val="both"/>
    </w:pPr>
    <w:rPr>
      <w:rFonts w:cs="Times New Roman"/>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77CB3"/>
    <w:pPr>
      <w:jc w:val="both"/>
    </w:pPr>
    <w:rPr>
      <w:rFonts w:cs="Times New Roman"/>
      <w:lang w:val="fr-FR" w:eastAsia="fr-F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77CB3"/>
    <w:pPr>
      <w:jc w:val="both"/>
    </w:pPr>
    <w:rPr>
      <w:rFonts w:cs="Times New Roman"/>
      <w:lang w:val="fr-FR" w:eastAsia="fr-F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77CB3"/>
    <w:pPr>
      <w:jc w:val="both"/>
    </w:pPr>
    <w:rPr>
      <w:rFonts w:cs="Times New Roman"/>
      <w:lang w:val="fr-FR" w:eastAsia="fr-FR"/>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77CB3"/>
    <w:pPr>
      <w:jc w:val="both"/>
    </w:pPr>
    <w:rPr>
      <w:rFonts w:cs="Times New Roman"/>
      <w:lang w:val="fr-FR" w:eastAsia="fr-FR"/>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77CB3"/>
    <w:pPr>
      <w:jc w:val="both"/>
    </w:pPr>
    <w:rPr>
      <w:rFonts w:cs="Times New Roman"/>
      <w:lang w:val="fr-FR" w:eastAsia="fr-FR"/>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77CB3"/>
    <w:pPr>
      <w:jc w:val="both"/>
    </w:pPr>
    <w:rPr>
      <w:rFonts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E77CB3"/>
    <w:pPr>
      <w:jc w:val="both"/>
    </w:pPr>
    <w:rPr>
      <w:rFonts w:cs="Times New Roman"/>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77CB3"/>
    <w:pPr>
      <w:jc w:val="both"/>
    </w:pPr>
    <w:rPr>
      <w:rFonts w:cs="Times New Roman"/>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77CB3"/>
    <w:pPr>
      <w:jc w:val="both"/>
    </w:pPr>
    <w:rPr>
      <w:rFonts w:cs="Times New Roman"/>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E77CB3"/>
    <w:pPr>
      <w:spacing w:after="100"/>
      <w:ind w:left="1200"/>
    </w:pPr>
  </w:style>
  <w:style w:type="paragraph" w:styleId="TOC7">
    <w:name w:val="toc 7"/>
    <w:basedOn w:val="Normal"/>
    <w:next w:val="Normal"/>
    <w:autoRedefine/>
    <w:uiPriority w:val="99"/>
    <w:semiHidden/>
    <w:rsid w:val="00E77CB3"/>
    <w:pPr>
      <w:spacing w:after="100"/>
      <w:ind w:left="1440"/>
    </w:pPr>
  </w:style>
  <w:style w:type="paragraph" w:styleId="TOC8">
    <w:name w:val="toc 8"/>
    <w:basedOn w:val="Normal"/>
    <w:next w:val="Normal"/>
    <w:autoRedefine/>
    <w:uiPriority w:val="99"/>
    <w:semiHidden/>
    <w:rsid w:val="00E77CB3"/>
    <w:pPr>
      <w:spacing w:after="100"/>
      <w:ind w:left="1680"/>
    </w:pPr>
  </w:style>
  <w:style w:type="paragraph" w:styleId="TOC9">
    <w:name w:val="toc 9"/>
    <w:basedOn w:val="Normal"/>
    <w:next w:val="Normal"/>
    <w:autoRedefine/>
    <w:uiPriority w:val="99"/>
    <w:semiHidden/>
    <w:rsid w:val="00E77CB3"/>
    <w:pPr>
      <w:spacing w:after="100"/>
      <w:ind w:left="1920"/>
    </w:pPr>
  </w:style>
  <w:style w:type="paragraph" w:customStyle="1" w:styleId="JuLista">
    <w:name w:val="Ju_List_a"/>
    <w:basedOn w:val="JuList"/>
    <w:uiPriority w:val="28"/>
    <w:qFormat/>
    <w:rsid w:val="005C50CD"/>
    <w:pPr>
      <w:ind w:left="346" w:firstLine="0"/>
    </w:pPr>
  </w:style>
  <w:style w:type="paragraph" w:customStyle="1" w:styleId="JuListi">
    <w:name w:val="Ju_List_i"/>
    <w:basedOn w:val="Normal"/>
    <w:next w:val="JuLista"/>
    <w:uiPriority w:val="28"/>
    <w:qFormat/>
    <w:rsid w:val="005C50CD"/>
    <w:pPr>
      <w:ind w:left="794"/>
    </w:pPr>
  </w:style>
  <w:style w:type="paragraph" w:customStyle="1" w:styleId="OpiH1">
    <w:name w:val="Opi_H_1"/>
    <w:basedOn w:val="ECHRHeading2"/>
    <w:uiPriority w:val="42"/>
    <w:semiHidden/>
    <w:qFormat/>
    <w:rsid w:val="005C50CD"/>
    <w:pPr>
      <w:ind w:left="635" w:hanging="357"/>
      <w:outlineLvl w:val="2"/>
    </w:pPr>
  </w:style>
  <w:style w:type="paragraph" w:customStyle="1" w:styleId="OpiHa0">
    <w:name w:val="Opi_H_a"/>
    <w:basedOn w:val="ECHRHeading3"/>
    <w:uiPriority w:val="43"/>
    <w:semiHidden/>
    <w:qFormat/>
    <w:rsid w:val="005C50CD"/>
    <w:pPr>
      <w:ind w:left="833" w:hanging="357"/>
      <w:outlineLvl w:val="3"/>
    </w:pPr>
    <w:rPr>
      <w:b/>
      <w:i w:val="0"/>
      <w:sz w:val="20"/>
    </w:rPr>
  </w:style>
  <w:style w:type="paragraph" w:customStyle="1" w:styleId="OpiHi">
    <w:name w:val="Opi_H_i"/>
    <w:basedOn w:val="ECHRHeading4"/>
    <w:uiPriority w:val="44"/>
    <w:semiHidden/>
    <w:qFormat/>
    <w:rsid w:val="005C50CD"/>
    <w:pPr>
      <w:ind w:left="1037" w:hanging="357"/>
      <w:outlineLvl w:val="4"/>
    </w:pPr>
    <w:rPr>
      <w:b w:val="0"/>
      <w:i/>
    </w:rPr>
  </w:style>
  <w:style w:type="paragraph" w:customStyle="1" w:styleId="DummyStyle">
    <w:name w:val="Dummy_Style"/>
    <w:basedOn w:val="Normal"/>
    <w:semiHidden/>
    <w:qFormat/>
    <w:rsid w:val="005C50CD"/>
    <w:rPr>
      <w:color w:val="00B050"/>
    </w:rPr>
  </w:style>
  <w:style w:type="character" w:customStyle="1" w:styleId="ECHRParaChar">
    <w:name w:val="ECHR_Para Char"/>
    <w:aliases w:val="Ju_Para Char"/>
    <w:link w:val="ECHRPara"/>
    <w:uiPriority w:val="12"/>
    <w:locked/>
    <w:rsid w:val="00576B6F"/>
    <w:rPr>
      <w:rFonts w:eastAsiaTheme="minorEastAsia"/>
      <w:sz w:val="24"/>
    </w:rPr>
  </w:style>
  <w:style w:type="numbering" w:styleId="1ai">
    <w:name w:val="Outline List 1"/>
    <w:basedOn w:val="NoList"/>
    <w:uiPriority w:val="99"/>
    <w:semiHidden/>
    <w:unhideWhenUsed/>
    <w:pPr>
      <w:numPr>
        <w:numId w:val="23"/>
      </w:numPr>
    </w:pPr>
  </w:style>
  <w:style w:type="numbering" w:styleId="111111">
    <w:name w:val="Outline List 2"/>
    <w:basedOn w:val="NoList"/>
    <w:uiPriority w:val="99"/>
    <w:semiHidden/>
    <w:unhideWhenUsed/>
    <w:pPr>
      <w:numPr>
        <w:numId w:val="22"/>
      </w:numPr>
    </w:pPr>
  </w:style>
  <w:style w:type="numbering" w:styleId="ArticleSection">
    <w:name w:val="Outline List 3"/>
    <w:basedOn w:val="NoList"/>
    <w:uiPriority w:val="99"/>
    <w:semiHidden/>
    <w:unhideWhenUsed/>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7699">
      <w:marLeft w:val="0"/>
      <w:marRight w:val="0"/>
      <w:marTop w:val="0"/>
      <w:marBottom w:val="0"/>
      <w:divBdr>
        <w:top w:val="none" w:sz="0" w:space="0" w:color="auto"/>
        <w:left w:val="none" w:sz="0" w:space="0" w:color="auto"/>
        <w:bottom w:val="none" w:sz="0" w:space="0" w:color="auto"/>
        <w:right w:val="none" w:sz="0" w:space="0" w:color="auto"/>
      </w:divBdr>
    </w:div>
    <w:div w:id="30807700">
      <w:marLeft w:val="0"/>
      <w:marRight w:val="0"/>
      <w:marTop w:val="0"/>
      <w:marBottom w:val="0"/>
      <w:divBdr>
        <w:top w:val="none" w:sz="0" w:space="0" w:color="auto"/>
        <w:left w:val="none" w:sz="0" w:space="0" w:color="auto"/>
        <w:bottom w:val="none" w:sz="0" w:space="0" w:color="auto"/>
        <w:right w:val="none" w:sz="0" w:space="0" w:color="auto"/>
      </w:divBdr>
    </w:div>
    <w:div w:id="308077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4375E-5A78-4B8E-8140-B6FFA5EF54D9}">
  <ds:schemaRefs>
    <ds:schemaRef ds:uri="http://schemas.microsoft.com/sharepoint/v3/contenttype/forms"/>
  </ds:schemaRefs>
</ds:datastoreItem>
</file>

<file path=customXml/itemProps2.xml><?xml version="1.0" encoding="utf-8"?>
<ds:datastoreItem xmlns:ds="http://schemas.openxmlformats.org/officeDocument/2006/customXml" ds:itemID="{4D467AB3-09DD-423E-A51C-1822AAEFA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DA7EF1-08B1-4537-BDCC-40C7CB2795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927879-41EA-4C20-89CD-0AEE7DA1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6251</Words>
  <Characters>35632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41800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DJF</dc:subject>
  <dc:creator/>
  <cp:keywords/>
  <dc:description/>
  <cp:lastModifiedBy/>
  <cp:revision>1</cp:revision>
  <dcterms:created xsi:type="dcterms:W3CDTF">2019-03-12T14:27:00Z</dcterms:created>
  <dcterms:modified xsi:type="dcterms:W3CDTF">2019-03-12T14:27:00Z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