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1C" w:rsidRPr="00CD581C" w:rsidRDefault="00CD581C" w:rsidP="00CD581C">
      <w:r w:rsidRPr="00CD581C">
        <w:rPr>
          <w:b/>
          <w:bCs/>
        </w:rPr>
        <w:t>IV SA/Wa 997/14 - Wyrok WSA w Warszawie</w:t>
      </w:r>
    </w:p>
    <w:tbl>
      <w:tblPr>
        <w:tblW w:w="10950" w:type="dxa"/>
        <w:tblCellSpacing w:w="7" w:type="dxa"/>
        <w:tblBorders>
          <w:top w:val="single" w:sz="1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2"/>
        <w:gridCol w:w="8738"/>
      </w:tblGrid>
      <w:tr w:rsidR="00CD581C" w:rsidRPr="00CD581C" w:rsidTr="00CD581C">
        <w:trPr>
          <w:tblCellSpacing w:w="7" w:type="dxa"/>
        </w:trPr>
        <w:tc>
          <w:tcPr>
            <w:tcW w:w="2145" w:type="dxa"/>
            <w:tcBorders>
              <w:top w:val="single" w:sz="6" w:space="0" w:color="EEEEEE"/>
              <w:left w:val="single" w:sz="6" w:space="0" w:color="C0C0C0"/>
            </w:tcBorders>
            <w:shd w:val="clear" w:color="auto" w:fill="F4F4F4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tbl>
            <w:tblPr>
              <w:tblW w:w="2145" w:type="dxa"/>
              <w:tblCellSpacing w:w="15" w:type="dxa"/>
              <w:shd w:val="clear" w:color="auto" w:fill="F4F4F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5"/>
            </w:tblGrid>
            <w:tr w:rsidR="00CD581C" w:rsidRPr="00CD581C" w:rsidTr="00CD581C">
              <w:trPr>
                <w:tblCellSpacing w:w="15" w:type="dxa"/>
              </w:trPr>
              <w:tc>
                <w:tcPr>
                  <w:tcW w:w="0" w:type="auto"/>
                  <w:shd w:val="clear" w:color="auto" w:fill="F4F4F4"/>
                  <w:hideMark/>
                </w:tcPr>
                <w:p w:rsidR="00CD581C" w:rsidRPr="00CD581C" w:rsidRDefault="00CD581C" w:rsidP="00CD581C">
                  <w:pPr>
                    <w:rPr>
                      <w:b/>
                      <w:bCs/>
                    </w:rPr>
                  </w:pPr>
                  <w:r w:rsidRPr="00CD581C">
                    <w:rPr>
                      <w:b/>
                      <w:bCs/>
                    </w:rPr>
                    <w:t>Data orzeczenia</w:t>
                  </w:r>
                </w:p>
              </w:tc>
            </w:tr>
          </w:tbl>
          <w:p w:rsidR="00CD581C" w:rsidRPr="00CD581C" w:rsidRDefault="00CD581C" w:rsidP="00CD581C"/>
        </w:tc>
        <w:tc>
          <w:tcPr>
            <w:tcW w:w="8670" w:type="dxa"/>
            <w:tcBorders>
              <w:top w:val="single" w:sz="6" w:space="0" w:color="EEEEEE"/>
              <w:left w:val="single" w:sz="6" w:space="0" w:color="C0C0C0"/>
            </w:tcBorders>
            <w:shd w:val="clear" w:color="auto" w:fill="F4F4F4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tbl>
            <w:tblPr>
              <w:tblW w:w="86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10"/>
              <w:gridCol w:w="4260"/>
            </w:tblGrid>
            <w:tr w:rsidR="00CD581C" w:rsidRPr="00CD581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D581C" w:rsidRPr="00CD581C" w:rsidRDefault="00CD581C" w:rsidP="00CD581C">
                  <w:r w:rsidRPr="00CD581C">
                    <w:t>2014-10-10</w:t>
                  </w:r>
                </w:p>
              </w:tc>
              <w:tc>
                <w:tcPr>
                  <w:tcW w:w="4260" w:type="dxa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hideMark/>
                </w:tcPr>
                <w:p w:rsidR="00CD581C" w:rsidRPr="00CD581C" w:rsidRDefault="00CD581C" w:rsidP="00CD581C">
                  <w:pPr>
                    <w:rPr>
                      <w:i/>
                      <w:iCs/>
                    </w:rPr>
                  </w:pPr>
                  <w:r w:rsidRPr="00CD581C">
                    <w:rPr>
                      <w:i/>
                      <w:iCs/>
                    </w:rPr>
                    <w:t>orzeczenie prawomocne</w:t>
                  </w:r>
                </w:p>
              </w:tc>
            </w:tr>
          </w:tbl>
          <w:p w:rsidR="00CD581C" w:rsidRPr="00CD581C" w:rsidRDefault="00CD581C" w:rsidP="00CD581C"/>
        </w:tc>
      </w:tr>
      <w:tr w:rsidR="00CD581C" w:rsidRPr="00CD581C" w:rsidTr="00CD581C">
        <w:trPr>
          <w:tblCellSpacing w:w="7" w:type="dxa"/>
        </w:trPr>
        <w:tc>
          <w:tcPr>
            <w:tcW w:w="2145" w:type="dxa"/>
            <w:tcBorders>
              <w:top w:val="single" w:sz="6" w:space="0" w:color="EEEEEE"/>
              <w:left w:val="single" w:sz="6" w:space="0" w:color="C0C0C0"/>
            </w:tcBorders>
            <w:shd w:val="clear" w:color="auto" w:fill="F4F4F4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tbl>
            <w:tblPr>
              <w:tblW w:w="2145" w:type="dxa"/>
              <w:tblCellSpacing w:w="15" w:type="dxa"/>
              <w:shd w:val="clear" w:color="auto" w:fill="F4F4F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5"/>
            </w:tblGrid>
            <w:tr w:rsidR="00CD581C" w:rsidRPr="00CD581C">
              <w:trPr>
                <w:tblCellSpacing w:w="15" w:type="dxa"/>
              </w:trPr>
              <w:tc>
                <w:tcPr>
                  <w:tcW w:w="0" w:type="auto"/>
                  <w:shd w:val="clear" w:color="auto" w:fill="F4F4F4"/>
                  <w:hideMark/>
                </w:tcPr>
                <w:p w:rsidR="00CD581C" w:rsidRPr="00CD581C" w:rsidRDefault="00CD581C" w:rsidP="00CD581C">
                  <w:pPr>
                    <w:rPr>
                      <w:b/>
                      <w:bCs/>
                    </w:rPr>
                  </w:pPr>
                  <w:r w:rsidRPr="00CD581C">
                    <w:rPr>
                      <w:b/>
                      <w:bCs/>
                    </w:rPr>
                    <w:t>Data wpływu</w:t>
                  </w:r>
                </w:p>
              </w:tc>
            </w:tr>
          </w:tbl>
          <w:p w:rsidR="00CD581C" w:rsidRPr="00CD581C" w:rsidRDefault="00CD581C" w:rsidP="00CD581C"/>
        </w:tc>
        <w:tc>
          <w:tcPr>
            <w:tcW w:w="8670" w:type="dxa"/>
            <w:tcBorders>
              <w:top w:val="single" w:sz="6" w:space="0" w:color="EEEEEE"/>
              <w:left w:val="single" w:sz="6" w:space="0" w:color="C0C0C0"/>
            </w:tcBorders>
            <w:shd w:val="clear" w:color="auto" w:fill="F4F4F4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D581C" w:rsidRPr="00CD581C" w:rsidRDefault="00CD581C" w:rsidP="00CD581C">
            <w:r w:rsidRPr="00CD581C">
              <w:t>2014-05-12</w:t>
            </w:r>
          </w:p>
        </w:tc>
      </w:tr>
      <w:tr w:rsidR="00CD581C" w:rsidRPr="00CD581C" w:rsidTr="00CD581C">
        <w:trPr>
          <w:tblCellSpacing w:w="7" w:type="dxa"/>
        </w:trPr>
        <w:tc>
          <w:tcPr>
            <w:tcW w:w="2145" w:type="dxa"/>
            <w:tcBorders>
              <w:top w:val="single" w:sz="6" w:space="0" w:color="EEEEEE"/>
              <w:left w:val="single" w:sz="6" w:space="0" w:color="C0C0C0"/>
            </w:tcBorders>
            <w:shd w:val="clear" w:color="auto" w:fill="F4F4F4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tbl>
            <w:tblPr>
              <w:tblW w:w="2145" w:type="dxa"/>
              <w:tblCellSpacing w:w="15" w:type="dxa"/>
              <w:shd w:val="clear" w:color="auto" w:fill="F4F4F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5"/>
            </w:tblGrid>
            <w:tr w:rsidR="00CD581C" w:rsidRPr="00CD581C">
              <w:trPr>
                <w:tblCellSpacing w:w="15" w:type="dxa"/>
              </w:trPr>
              <w:tc>
                <w:tcPr>
                  <w:tcW w:w="0" w:type="auto"/>
                  <w:shd w:val="clear" w:color="auto" w:fill="F4F4F4"/>
                  <w:hideMark/>
                </w:tcPr>
                <w:p w:rsidR="00CD581C" w:rsidRPr="00CD581C" w:rsidRDefault="00CD581C" w:rsidP="00CD581C">
                  <w:pPr>
                    <w:rPr>
                      <w:b/>
                      <w:bCs/>
                    </w:rPr>
                  </w:pPr>
                  <w:r w:rsidRPr="00CD581C">
                    <w:rPr>
                      <w:b/>
                      <w:bCs/>
                    </w:rPr>
                    <w:t>Sąd</w:t>
                  </w:r>
                </w:p>
              </w:tc>
            </w:tr>
          </w:tbl>
          <w:p w:rsidR="00CD581C" w:rsidRPr="00CD581C" w:rsidRDefault="00CD581C" w:rsidP="00CD581C"/>
        </w:tc>
        <w:tc>
          <w:tcPr>
            <w:tcW w:w="8670" w:type="dxa"/>
            <w:tcBorders>
              <w:top w:val="single" w:sz="6" w:space="0" w:color="EEEEEE"/>
              <w:left w:val="single" w:sz="6" w:space="0" w:color="C0C0C0"/>
            </w:tcBorders>
            <w:shd w:val="clear" w:color="auto" w:fill="F4F4F4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D581C" w:rsidRPr="00CD581C" w:rsidRDefault="00CD581C" w:rsidP="00CD581C">
            <w:r w:rsidRPr="00CD581C">
              <w:t>Wojewódzki Sąd Administracyjny w Warszawie</w:t>
            </w:r>
          </w:p>
        </w:tc>
      </w:tr>
      <w:tr w:rsidR="00CD581C" w:rsidRPr="00CD581C" w:rsidTr="00CD581C">
        <w:trPr>
          <w:tblCellSpacing w:w="7" w:type="dxa"/>
        </w:trPr>
        <w:tc>
          <w:tcPr>
            <w:tcW w:w="2145" w:type="dxa"/>
            <w:tcBorders>
              <w:top w:val="single" w:sz="6" w:space="0" w:color="EEEEEE"/>
              <w:left w:val="single" w:sz="6" w:space="0" w:color="C0C0C0"/>
            </w:tcBorders>
            <w:shd w:val="clear" w:color="auto" w:fill="F4F4F4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tbl>
            <w:tblPr>
              <w:tblW w:w="2145" w:type="dxa"/>
              <w:tblCellSpacing w:w="15" w:type="dxa"/>
              <w:shd w:val="clear" w:color="auto" w:fill="F4F4F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5"/>
            </w:tblGrid>
            <w:tr w:rsidR="00CD581C" w:rsidRPr="00CD581C">
              <w:trPr>
                <w:tblCellSpacing w:w="15" w:type="dxa"/>
              </w:trPr>
              <w:tc>
                <w:tcPr>
                  <w:tcW w:w="0" w:type="auto"/>
                  <w:shd w:val="clear" w:color="auto" w:fill="F4F4F4"/>
                  <w:hideMark/>
                </w:tcPr>
                <w:p w:rsidR="00CD581C" w:rsidRPr="00CD581C" w:rsidRDefault="00CD581C" w:rsidP="00CD581C">
                  <w:pPr>
                    <w:rPr>
                      <w:b/>
                      <w:bCs/>
                    </w:rPr>
                  </w:pPr>
                  <w:r w:rsidRPr="00CD581C">
                    <w:rPr>
                      <w:b/>
                      <w:bCs/>
                    </w:rPr>
                    <w:t>Sędziowie</w:t>
                  </w:r>
                </w:p>
              </w:tc>
            </w:tr>
          </w:tbl>
          <w:p w:rsidR="00CD581C" w:rsidRPr="00CD581C" w:rsidRDefault="00CD581C" w:rsidP="00CD581C"/>
        </w:tc>
        <w:tc>
          <w:tcPr>
            <w:tcW w:w="8670" w:type="dxa"/>
            <w:tcBorders>
              <w:top w:val="single" w:sz="6" w:space="0" w:color="EEEEEE"/>
              <w:left w:val="single" w:sz="6" w:space="0" w:color="C0C0C0"/>
            </w:tcBorders>
            <w:shd w:val="clear" w:color="auto" w:fill="F4F4F4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D581C" w:rsidRPr="00CD581C" w:rsidRDefault="00CD581C" w:rsidP="00CD581C">
            <w:r w:rsidRPr="00CD581C">
              <w:t>Agnieszka Wójcik</w:t>
            </w:r>
            <w:r w:rsidRPr="00CD581C">
              <w:br/>
              <w:t>Łukasz Krzycki</w:t>
            </w:r>
            <w:r w:rsidRPr="00CD581C">
              <w:br/>
              <w:t>Małgorzata Małaszewska-Litwiniec /przewodniczący sprawozdawca/</w:t>
            </w:r>
          </w:p>
        </w:tc>
      </w:tr>
      <w:tr w:rsidR="00CD581C" w:rsidRPr="00CD581C" w:rsidTr="00CD581C">
        <w:trPr>
          <w:tblCellSpacing w:w="7" w:type="dxa"/>
        </w:trPr>
        <w:tc>
          <w:tcPr>
            <w:tcW w:w="2145" w:type="dxa"/>
            <w:tcBorders>
              <w:top w:val="single" w:sz="6" w:space="0" w:color="EEEEEE"/>
              <w:left w:val="single" w:sz="6" w:space="0" w:color="C0C0C0"/>
            </w:tcBorders>
            <w:shd w:val="clear" w:color="auto" w:fill="F4F4F4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tbl>
            <w:tblPr>
              <w:tblW w:w="2145" w:type="dxa"/>
              <w:tblCellSpacing w:w="15" w:type="dxa"/>
              <w:shd w:val="clear" w:color="auto" w:fill="F4F4F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5"/>
            </w:tblGrid>
            <w:tr w:rsidR="00CD581C" w:rsidRPr="00CD581C">
              <w:trPr>
                <w:tblCellSpacing w:w="15" w:type="dxa"/>
              </w:trPr>
              <w:tc>
                <w:tcPr>
                  <w:tcW w:w="0" w:type="auto"/>
                  <w:shd w:val="clear" w:color="auto" w:fill="F4F4F4"/>
                  <w:hideMark/>
                </w:tcPr>
                <w:p w:rsidR="00CD581C" w:rsidRPr="00CD581C" w:rsidRDefault="00CD581C" w:rsidP="00CD581C">
                  <w:pPr>
                    <w:rPr>
                      <w:b/>
                      <w:bCs/>
                    </w:rPr>
                  </w:pPr>
                  <w:r w:rsidRPr="00CD581C">
                    <w:rPr>
                      <w:b/>
                      <w:bCs/>
                    </w:rPr>
                    <w:t>Symbol z opisem</w:t>
                  </w:r>
                </w:p>
              </w:tc>
            </w:tr>
          </w:tbl>
          <w:p w:rsidR="00CD581C" w:rsidRPr="00CD581C" w:rsidRDefault="00CD581C" w:rsidP="00CD581C"/>
        </w:tc>
        <w:tc>
          <w:tcPr>
            <w:tcW w:w="8670" w:type="dxa"/>
            <w:tcBorders>
              <w:top w:val="single" w:sz="6" w:space="0" w:color="EEEEEE"/>
              <w:left w:val="single" w:sz="6" w:space="0" w:color="C0C0C0"/>
            </w:tcBorders>
            <w:shd w:val="clear" w:color="auto" w:fill="F4F4F4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D581C" w:rsidRPr="00CD581C" w:rsidRDefault="00CD581C" w:rsidP="00CD581C">
            <w:r w:rsidRPr="00CD581C">
              <w:t>6271 Ochrona cudzoziemca, w tym nadawanie statusu uchodźcy, azyl, zezwolenie na pobyt tolerowany i ochrona czasowa</w:t>
            </w:r>
          </w:p>
        </w:tc>
      </w:tr>
      <w:tr w:rsidR="00CD581C" w:rsidRPr="00CD581C" w:rsidTr="00CD581C">
        <w:trPr>
          <w:tblCellSpacing w:w="7" w:type="dxa"/>
        </w:trPr>
        <w:tc>
          <w:tcPr>
            <w:tcW w:w="2145" w:type="dxa"/>
            <w:tcBorders>
              <w:top w:val="single" w:sz="6" w:space="0" w:color="EEEEEE"/>
              <w:left w:val="single" w:sz="6" w:space="0" w:color="C0C0C0"/>
            </w:tcBorders>
            <w:shd w:val="clear" w:color="auto" w:fill="F4F4F4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tbl>
            <w:tblPr>
              <w:tblW w:w="2145" w:type="dxa"/>
              <w:tblCellSpacing w:w="15" w:type="dxa"/>
              <w:shd w:val="clear" w:color="auto" w:fill="F4F4F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5"/>
            </w:tblGrid>
            <w:tr w:rsidR="00CD581C" w:rsidRPr="00CD581C">
              <w:trPr>
                <w:tblCellSpacing w:w="15" w:type="dxa"/>
              </w:trPr>
              <w:tc>
                <w:tcPr>
                  <w:tcW w:w="0" w:type="auto"/>
                  <w:shd w:val="clear" w:color="auto" w:fill="F4F4F4"/>
                  <w:hideMark/>
                </w:tcPr>
                <w:p w:rsidR="00CD581C" w:rsidRPr="00CD581C" w:rsidRDefault="00CD581C" w:rsidP="00CD581C">
                  <w:pPr>
                    <w:rPr>
                      <w:b/>
                      <w:bCs/>
                    </w:rPr>
                  </w:pPr>
                  <w:r w:rsidRPr="00CD581C">
                    <w:rPr>
                      <w:b/>
                      <w:bCs/>
                    </w:rPr>
                    <w:t>Skarżony organ</w:t>
                  </w:r>
                </w:p>
              </w:tc>
            </w:tr>
          </w:tbl>
          <w:p w:rsidR="00CD581C" w:rsidRPr="00CD581C" w:rsidRDefault="00CD581C" w:rsidP="00CD581C"/>
        </w:tc>
        <w:tc>
          <w:tcPr>
            <w:tcW w:w="8670" w:type="dxa"/>
            <w:tcBorders>
              <w:top w:val="single" w:sz="6" w:space="0" w:color="EEEEEE"/>
              <w:left w:val="single" w:sz="6" w:space="0" w:color="C0C0C0"/>
            </w:tcBorders>
            <w:shd w:val="clear" w:color="auto" w:fill="F4F4F4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D581C" w:rsidRPr="00CD581C" w:rsidRDefault="00CD581C" w:rsidP="00CD581C">
            <w:r w:rsidRPr="00CD581C">
              <w:t>Inne</w:t>
            </w:r>
            <w:bookmarkStart w:id="0" w:name="_GoBack"/>
            <w:bookmarkEnd w:id="0"/>
          </w:p>
        </w:tc>
      </w:tr>
      <w:tr w:rsidR="00CD581C" w:rsidRPr="00CD581C" w:rsidTr="00CD581C">
        <w:trPr>
          <w:tblCellSpacing w:w="7" w:type="dxa"/>
        </w:trPr>
        <w:tc>
          <w:tcPr>
            <w:tcW w:w="2145" w:type="dxa"/>
            <w:tcBorders>
              <w:top w:val="single" w:sz="6" w:space="0" w:color="EEEEEE"/>
              <w:left w:val="single" w:sz="6" w:space="0" w:color="C0C0C0"/>
            </w:tcBorders>
            <w:shd w:val="clear" w:color="auto" w:fill="F4F4F4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tbl>
            <w:tblPr>
              <w:tblW w:w="2145" w:type="dxa"/>
              <w:tblCellSpacing w:w="15" w:type="dxa"/>
              <w:shd w:val="clear" w:color="auto" w:fill="F4F4F4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5"/>
            </w:tblGrid>
            <w:tr w:rsidR="00CD581C" w:rsidRPr="00CD581C">
              <w:trPr>
                <w:tblCellSpacing w:w="15" w:type="dxa"/>
              </w:trPr>
              <w:tc>
                <w:tcPr>
                  <w:tcW w:w="0" w:type="auto"/>
                  <w:shd w:val="clear" w:color="auto" w:fill="F4F4F4"/>
                  <w:hideMark/>
                </w:tcPr>
                <w:p w:rsidR="00CD581C" w:rsidRPr="00CD581C" w:rsidRDefault="00CD581C" w:rsidP="00CD581C">
                  <w:pPr>
                    <w:rPr>
                      <w:b/>
                      <w:bCs/>
                    </w:rPr>
                  </w:pPr>
                  <w:r w:rsidRPr="00CD581C">
                    <w:rPr>
                      <w:b/>
                      <w:bCs/>
                    </w:rPr>
                    <w:t>Treść wyniku</w:t>
                  </w:r>
                </w:p>
              </w:tc>
            </w:tr>
          </w:tbl>
          <w:p w:rsidR="00CD581C" w:rsidRPr="00CD581C" w:rsidRDefault="00CD581C" w:rsidP="00CD581C"/>
        </w:tc>
        <w:tc>
          <w:tcPr>
            <w:tcW w:w="8670" w:type="dxa"/>
            <w:tcBorders>
              <w:top w:val="single" w:sz="6" w:space="0" w:color="EEEEEE"/>
              <w:left w:val="single" w:sz="6" w:space="0" w:color="C0C0C0"/>
            </w:tcBorders>
            <w:shd w:val="clear" w:color="auto" w:fill="F4F4F4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CD581C" w:rsidRPr="00CD581C" w:rsidRDefault="00CD581C" w:rsidP="00CD581C">
            <w:r w:rsidRPr="00CD581C">
              <w:t>Oddalono skargę</w:t>
            </w:r>
          </w:p>
        </w:tc>
      </w:tr>
    </w:tbl>
    <w:p w:rsidR="00CD581C" w:rsidRDefault="00CD581C" w:rsidP="00CD581C"/>
    <w:p w:rsidR="00CD581C" w:rsidRDefault="00CD581C" w:rsidP="00CD581C">
      <w:r>
        <w:t>SENTENCJA</w:t>
      </w:r>
    </w:p>
    <w:p w:rsidR="00CD581C" w:rsidRDefault="00CD581C" w:rsidP="00CD581C">
      <w:r>
        <w:t>Wojewódzki Sąd Administracyjny w Warszawie w składzie następującym: Przewodnicząca sędzia WSA Małgorzata Małaszewska-Litwiniec (spr.), Sędziowie sędzia WSA Łukasz Krzycki, sędzia WSA Agnieszka Wójcik, Protokolant st. ref. Marcin Lesner, po rozpoznaniu na rozprawie w dniu 10 października 2014 r. sprawy ze skargi H. A. na decyzję Rady do Spraw Uchodźców z dnia [...] września 2013 r. nr [...] w przedmiocie umorzenia postępowania - oddala skargę -</w:t>
      </w:r>
    </w:p>
    <w:p w:rsidR="00CD581C" w:rsidRDefault="00CD581C" w:rsidP="00CD581C">
      <w:r>
        <w:t>UZASADNIENIE</w:t>
      </w:r>
    </w:p>
    <w:p w:rsidR="00CD581C" w:rsidRDefault="00CD581C" w:rsidP="00CD581C">
      <w:r>
        <w:t xml:space="preserve">Zaskarżoną do Wojewódzkiego Sądu Administracyjnego w Warszawie decyzją z dnia [...] września 2013 r. nr [...] Rada do Spraw Uchodźców utrzymała w mocy decyzję Szefa Urzędu do Spraw Cudzoziemców z dnia [...] czerwca 2013 r., przekazującą H. S. na [...]. </w:t>
      </w:r>
      <w:proofErr w:type="gramStart"/>
      <w:r>
        <w:t>do</w:t>
      </w:r>
      <w:proofErr w:type="gramEnd"/>
      <w:r>
        <w:t xml:space="preserve"> dnia p...[ października 2013 r. i umarzającej postępowanie w sprawie o nadanie statusu uchodźcy w Rzeczypospolitej Polskiej.</w:t>
      </w:r>
    </w:p>
    <w:p w:rsidR="00CD581C" w:rsidRDefault="00CD581C" w:rsidP="00CD581C">
      <w:proofErr w:type="gramStart"/>
      <w:r>
        <w:t>W uzasadnieniu decyzji organ odwoławczy podał, że art.</w:t>
      </w:r>
      <w:proofErr w:type="gramEnd"/>
      <w:r>
        <w:t xml:space="preserve"> </w:t>
      </w:r>
      <w:proofErr w:type="gramStart"/>
      <w:r>
        <w:t>41 ust.</w:t>
      </w:r>
      <w:proofErr w:type="gramEnd"/>
      <w:r>
        <w:t xml:space="preserve"> </w:t>
      </w:r>
      <w:proofErr w:type="gramStart"/>
      <w:r>
        <w:t>1 ustawy z dnia 13 czerwca 2003r.</w:t>
      </w:r>
      <w:proofErr w:type="gramEnd"/>
      <w:r>
        <w:t xml:space="preserve"> o udzielaniu cudzoziemcom ochrony na terytorium Rzeczypospolitej Polskiej (tekst jednolity Dz. U. z 2012r. poz. 680) przewiduje, iż organ prowadzący postępowanie wydaje decyzję o przekazaniu wnioskodawcy do innego państwa członkowskiego i o umorzeniu postępowania w okolicznościach uzasadniających przekazanie w toku postępowania wnioskodawcy innemu państwu członkowskiemu, odpowiedzialnemu za rozpatrzenie wniosku o nadanie statusu uchodźcy na podstawie Rozporządzenia Rady (WE) nr 343/2003 z dnia 18 lutego 2003r. </w:t>
      </w:r>
      <w:proofErr w:type="gramStart"/>
      <w:r>
        <w:t>ustanawiającego</w:t>
      </w:r>
      <w:proofErr w:type="gramEnd"/>
      <w:r>
        <w:t xml:space="preserve"> kryteria i mechanizmy określania Państwa Członkowskiego, które jest odpowiedzialne za rozpatrzenie wniosku o azyl złożonego w jednym z Państw Członkowskich przez obywatela kraju trzeciego.</w:t>
      </w:r>
    </w:p>
    <w:p w:rsidR="00CD581C" w:rsidRDefault="00CD581C" w:rsidP="00CD581C">
      <w:r>
        <w:t>Rada do Spraw Uchodźców wobec formalnego oświadczenia złożonego przez odpowiedni organ p</w:t>
      </w:r>
      <w:proofErr w:type="gramStart"/>
      <w:r>
        <w:t>...[</w:t>
      </w:r>
      <w:proofErr w:type="gramEnd"/>
      <w:r>
        <w:t xml:space="preserve"> (tj. oświadczenie o zgodzie na przyjęcie Cudzoziemca z dn. P...[.04.2013r.) wyraziła przekonanie, iż w </w:t>
      </w:r>
      <w:r>
        <w:lastRenderedPageBreak/>
        <w:t>okolicznościach faktycznych i prawnych sprawy, zasadnym było podjęcie przez organ I instancji decyzji o przekazaniu wnioskodawcy na p...[ oraz o umorzeniu postępowania w sprawie.</w:t>
      </w:r>
    </w:p>
    <w:p w:rsidR="00CD581C" w:rsidRDefault="00CD581C" w:rsidP="00CD581C">
      <w:r>
        <w:t xml:space="preserve">Reasumując, organ odwoławczy stwierdził, że w stosunku do H. S. zachodzą okoliczności unormowane w art. </w:t>
      </w:r>
      <w:proofErr w:type="gramStart"/>
      <w:r>
        <w:t>41 ust.</w:t>
      </w:r>
      <w:proofErr w:type="gramEnd"/>
      <w:r>
        <w:t xml:space="preserve"> </w:t>
      </w:r>
      <w:proofErr w:type="gramStart"/>
      <w:r>
        <w:t>1 ustawy z dnia 13 czerwca 2003r.</w:t>
      </w:r>
      <w:proofErr w:type="gramEnd"/>
      <w:r>
        <w:t xml:space="preserve"> </w:t>
      </w:r>
      <w:proofErr w:type="gramStart"/>
      <w:r>
        <w:t>o</w:t>
      </w:r>
      <w:proofErr w:type="gramEnd"/>
      <w:r>
        <w:t xml:space="preserve"> udzielaniu cudzoziemcom ochrony na terytorium Rzeczypospolitej Polskiej, a w konsekwencji - zasadnym było przekazanie Cudzoziemca stronie [...] oraz umorzenie postępowania.</w:t>
      </w:r>
    </w:p>
    <w:p w:rsidR="00CD581C" w:rsidRDefault="00CD581C" w:rsidP="00CD581C">
      <w:r>
        <w:t xml:space="preserve">Ponadto Rada wskazała, że w sprawie nie doszło do naruszenia art. </w:t>
      </w:r>
      <w:proofErr w:type="gramStart"/>
      <w:r>
        <w:t>10 Rozporządzenia Rady (WE) nr 343/2003 z dnia 18 lutego 2003r.</w:t>
      </w:r>
      <w:proofErr w:type="gramEnd"/>
      <w:r>
        <w:t xml:space="preserve"> ustanawiającego kryteria i mechanizmy określania Państwa Członkowskiego, które jest odpowiedzialne za rozpatrzenie wniosku o azyl złożonego w jednym z Państw Członkowskich przez obywatela kraju trzeciego, gdyż - po analizie przesłanek prowadzących do uznania zasadności rozpatrywania wniosku o nadanie statusu uchodźcy przez Państwo Członkowskie (Rzeczpospolitą Polską) - nie istnieją podstawy do przyjęcia odpowiedzialności Rzeczypospolitej Polskiej za rozpatrzenie wniosku Cudzoziemca.</w:t>
      </w:r>
    </w:p>
    <w:p w:rsidR="00CD581C" w:rsidRDefault="00CD581C" w:rsidP="00CD581C">
      <w:r>
        <w:t xml:space="preserve">Rada nie podzieliła też zarzutów odwołania skierowanych pod adresem postępowania organu I instancji. </w:t>
      </w:r>
      <w:proofErr w:type="gramStart"/>
      <w:r>
        <w:t>W szczególności, nie nastąpiło podnoszone przez Stronę naruszenie art.</w:t>
      </w:r>
      <w:proofErr w:type="gramEnd"/>
      <w:r>
        <w:t xml:space="preserve"> 7 i art. 77 K.p.a. gdyż w toku postępowania, organ I instancji podjął szereg koniecznych działań zmierzających do dokładnego wyjaśnienia stanu faktycznego oraz wyczerpującego zebrania i rozpatrzenia materiału dowodowego, a następnie analizował udowodnienie danych okoliczności </w:t>
      </w:r>
      <w:proofErr w:type="gramStart"/>
      <w:r>
        <w:t>na</w:t>
      </w:r>
      <w:proofErr w:type="gramEnd"/>
      <w:r>
        <w:t xml:space="preserve"> podstawie całokształtu materiału dowodowego w sposób wnikliwy i rzetelny. </w:t>
      </w:r>
      <w:proofErr w:type="gramStart"/>
      <w:r>
        <w:t>Organ odwoławczy nie uwzględnił zarzutu naruszenia art.</w:t>
      </w:r>
      <w:proofErr w:type="gramEnd"/>
      <w:r>
        <w:t xml:space="preserve"> 107 § 3 K.p.a., ponieważ organ I instancji zawarł w uzasadnieniu odpowiednio: fakty, które uznał za udowodnione, dowody, </w:t>
      </w:r>
      <w:proofErr w:type="gramStart"/>
      <w:r>
        <w:t>na</w:t>
      </w:r>
      <w:proofErr w:type="gramEnd"/>
      <w:r>
        <w:t xml:space="preserve"> których się oparł oraz wyczerpujące uzasadnienie prawne.</w:t>
      </w:r>
    </w:p>
    <w:p w:rsidR="00CD581C" w:rsidRDefault="00CD581C" w:rsidP="00CD581C">
      <w:r>
        <w:t>Na tą decyzję skargę do Wojewódzkiego Sądu Administracyjnego wniósł H. S., podnosząc zarzut naruszenia:</w:t>
      </w:r>
    </w:p>
    <w:p w:rsidR="00CD581C" w:rsidRDefault="00CD581C" w:rsidP="00CD581C">
      <w:r>
        <w:t xml:space="preserve">- </w:t>
      </w:r>
      <w:proofErr w:type="gramStart"/>
      <w:r>
        <w:t>art</w:t>
      </w:r>
      <w:proofErr w:type="gramEnd"/>
      <w:r>
        <w:t xml:space="preserve">. </w:t>
      </w:r>
      <w:proofErr w:type="gramStart"/>
      <w:r>
        <w:t>7 w zw.</w:t>
      </w:r>
      <w:proofErr w:type="gramEnd"/>
      <w:r>
        <w:t xml:space="preserve"> </w:t>
      </w:r>
      <w:proofErr w:type="gramStart"/>
      <w:r>
        <w:t>z</w:t>
      </w:r>
      <w:proofErr w:type="gramEnd"/>
      <w:r>
        <w:t xml:space="preserve"> art. 77 § 1 K.p.a. poprzez naruszenie zasady prawdy obiektywnej polegające </w:t>
      </w:r>
      <w:proofErr w:type="gramStart"/>
      <w:r>
        <w:t>na</w:t>
      </w:r>
      <w:proofErr w:type="gramEnd"/>
      <w:r>
        <w:t xml:space="preserve"> zaniechaniu wyczerpującego przeprowadzenia postępowania dowodowego w zakresie jego bytności na i w Polsce oraz warunków, w jakich przebywają migranci przybywający na terytorium [...],</w:t>
      </w:r>
    </w:p>
    <w:p w:rsidR="00CD581C" w:rsidRDefault="00CD581C" w:rsidP="00CD581C">
      <w:r>
        <w:t xml:space="preserve">- </w:t>
      </w:r>
      <w:proofErr w:type="gramStart"/>
      <w:r>
        <w:t>art</w:t>
      </w:r>
      <w:proofErr w:type="gramEnd"/>
      <w:r>
        <w:t xml:space="preserve">. </w:t>
      </w:r>
      <w:proofErr w:type="gramStart"/>
      <w:r>
        <w:t>80 K.p.a. w zw.</w:t>
      </w:r>
      <w:proofErr w:type="gramEnd"/>
      <w:r>
        <w:t xml:space="preserve"> </w:t>
      </w:r>
      <w:proofErr w:type="gramStart"/>
      <w:r>
        <w:t>z</w:t>
      </w:r>
      <w:proofErr w:type="gramEnd"/>
      <w:r>
        <w:t xml:space="preserve"> art. 107 § 3 K.p.a. poprzez dowolną ocenę zgromadzonych w sprawie dowodów, nieprawidłowe uzasadnienie decyzji, bez rzeczywistego odniesienia się do powoływanych przez skarżącego zarzutów w stosunku do decyzji organu I instancji,</w:t>
      </w:r>
    </w:p>
    <w:p w:rsidR="00CD581C" w:rsidRDefault="00CD581C" w:rsidP="00CD581C">
      <w:r>
        <w:t xml:space="preserve">- </w:t>
      </w:r>
      <w:proofErr w:type="gramStart"/>
      <w:r>
        <w:t>art</w:t>
      </w:r>
      <w:proofErr w:type="gramEnd"/>
      <w:r>
        <w:t>. 15 K.p.a. poprzez naruszenie zasady dwuinstancyjności postępowania,</w:t>
      </w:r>
    </w:p>
    <w:p w:rsidR="00CD581C" w:rsidRDefault="00CD581C" w:rsidP="00CD581C">
      <w:r>
        <w:t xml:space="preserve">- </w:t>
      </w:r>
      <w:proofErr w:type="gramStart"/>
      <w:r>
        <w:t>art</w:t>
      </w:r>
      <w:proofErr w:type="gramEnd"/>
      <w:r>
        <w:t xml:space="preserve">. </w:t>
      </w:r>
      <w:proofErr w:type="gramStart"/>
      <w:r>
        <w:t>41 ust.</w:t>
      </w:r>
      <w:proofErr w:type="gramEnd"/>
      <w:r>
        <w:t xml:space="preserve"> 1 ustawy o udzielaniu cudzoziemcom ochrony </w:t>
      </w:r>
      <w:proofErr w:type="gramStart"/>
      <w:r>
        <w:t>na</w:t>
      </w:r>
      <w:proofErr w:type="gramEnd"/>
      <w:r>
        <w:t xml:space="preserve"> terytorium RP w zw. </w:t>
      </w:r>
      <w:proofErr w:type="gramStart"/>
      <w:r>
        <w:t>z</w:t>
      </w:r>
      <w:proofErr w:type="gramEnd"/>
      <w:r>
        <w:t xml:space="preserve"> art. 10 rozporządzenia Rady (WE) nr 343/2003 ustanawiającego kryteria i mechanizmy określania Państwa Członkowskiego, które jest odpowiedzialne za rozpatrzenie wniosku o azyl złożonego w jednym z Państw Członkowskich przez obywatela kraju trzeciego poprzez brak uwzględnienia faktu, iż po upływie 12 miesięcy od przybycia na terytorium [....] w 2007 roku ustała odpowiedzialność [...] za rozpatrzenie wniosku o nadanie statusu uchodźcy, a odpowiedzialność taka leży po stronie Polski w związku z długością pobytu skarżącego na terytorium RP i w konsekwencji nie zastosowanie art. </w:t>
      </w:r>
      <w:proofErr w:type="gramStart"/>
      <w:r>
        <w:t>10 ww.</w:t>
      </w:r>
      <w:proofErr w:type="gramEnd"/>
      <w:r>
        <w:t xml:space="preserve"> </w:t>
      </w:r>
      <w:proofErr w:type="gramStart"/>
      <w:r>
        <w:t>rozporządzenia</w:t>
      </w:r>
      <w:proofErr w:type="gramEnd"/>
      <w:r>
        <w:t>.</w:t>
      </w:r>
    </w:p>
    <w:p w:rsidR="00CD581C" w:rsidRDefault="00CD581C" w:rsidP="00CD581C">
      <w:proofErr w:type="gramStart"/>
      <w:r>
        <w:lastRenderedPageBreak/>
        <w:t>W uzasadnieniu skarżący podniósł, że wniosek o nadanie statusu uchodźcy złożył dopiero w Polsce.</w:t>
      </w:r>
      <w:proofErr w:type="gramEnd"/>
      <w:r>
        <w:t xml:space="preserve"> Tym samym, odpowiedzialność [...] za rozpatrzenie wniosku o ochronę, jako kraju którego granicę przekroczył przybywając z państwa trzeciego, ustała z upływem 12 miesięcy od dnia nielegalnego przekroczenia granicy, co miało miejsce już wiele lat temu. </w:t>
      </w:r>
      <w:proofErr w:type="gramStart"/>
      <w:r>
        <w:t>Odpowiedzialność Polski za rozpatrzenie wniosku w świetle art.</w:t>
      </w:r>
      <w:proofErr w:type="gramEnd"/>
      <w:r>
        <w:t xml:space="preserve"> </w:t>
      </w:r>
      <w:proofErr w:type="gramStart"/>
      <w:r>
        <w:t>10 ust.</w:t>
      </w:r>
      <w:proofErr w:type="gramEnd"/>
      <w:r>
        <w:t xml:space="preserve"> </w:t>
      </w:r>
      <w:proofErr w:type="gramStart"/>
      <w:r>
        <w:t>2 rozporządzenia wynika także z faktu, iż skarżący przebywał tu nieprzerwanie przez okres ponad pięciu miesięcy.</w:t>
      </w:r>
      <w:proofErr w:type="gramEnd"/>
    </w:p>
    <w:p w:rsidR="00CD581C" w:rsidRDefault="00CD581C" w:rsidP="00CD581C">
      <w:r>
        <w:t xml:space="preserve">Zarzucił, że Rada do Spraw Uchodźców wydając decyzję w jego sprawie oparła się w zasadzie wyłącznie </w:t>
      </w:r>
      <w:proofErr w:type="gramStart"/>
      <w:r>
        <w:t>na</w:t>
      </w:r>
      <w:proofErr w:type="gramEnd"/>
      <w:r>
        <w:t xml:space="preserve"> okoliczności w postaci wyrażenia zgody przez władze [...], na przejęcie odpowiedzialności za rozpatrzenie złożonego wniosku o nadanie statusu uchodźcy. Zarzucił także, iż organ II instancji w ogóle nie ustosunkował się do faktu, iż </w:t>
      </w:r>
      <w:proofErr w:type="gramStart"/>
      <w:r>
        <w:t>na</w:t>
      </w:r>
      <w:proofErr w:type="gramEnd"/>
      <w:r>
        <w:t xml:space="preserve"> [...] przebywał w roku 2007, a tym samym odpowiedzialność tego kraju dawno ustała, zaś krajem odpowiedzialnym stała się Polska, gdzie złożył wniosek o udzielenie ochrony. Jednocześnie, zdaniem skarżącego, organ II instancji nie ustosunkował się do treści decyzji władz [...], nie podając, </w:t>
      </w:r>
      <w:proofErr w:type="gramStart"/>
      <w:r>
        <w:t>na</w:t>
      </w:r>
      <w:proofErr w:type="gramEnd"/>
      <w:r>
        <w:t xml:space="preserve"> jakiej podstawie decyzja ta zapadła. </w:t>
      </w:r>
      <w:proofErr w:type="gramStart"/>
      <w:r>
        <w:t>W szczególności zaś, czy władze [...] miały świadomość tego, jak długo przebywa w Polsce.</w:t>
      </w:r>
      <w:proofErr w:type="gramEnd"/>
      <w:r>
        <w:t xml:space="preserve"> Dodatkowo nadmienił, że warunki przyjmowania cudzoziemców i osób ubiegających się o nadanie statusu uchodźcy </w:t>
      </w:r>
      <w:proofErr w:type="gramStart"/>
      <w:r>
        <w:t>na</w:t>
      </w:r>
      <w:proofErr w:type="gramEnd"/>
      <w:r>
        <w:t xml:space="preserve"> [...] są krytykowane, albowiem nie wypełniają podstawowym standardów przewidzianych w przepisach prawa międzynarodowego.</w:t>
      </w:r>
    </w:p>
    <w:p w:rsidR="00CD581C" w:rsidRDefault="00CD581C" w:rsidP="00CD581C">
      <w:r>
        <w:t xml:space="preserve">W odpowiedzi </w:t>
      </w:r>
      <w:proofErr w:type="gramStart"/>
      <w:r>
        <w:t>na</w:t>
      </w:r>
      <w:proofErr w:type="gramEnd"/>
      <w:r>
        <w:t xml:space="preserve"> skargę Rada do Spraw Uchodźców wniosła o jej oddalenie, podtrzymując argumentację zaprezentowaną w zaskarżonej decyzji.</w:t>
      </w:r>
    </w:p>
    <w:p w:rsidR="00CD581C" w:rsidRDefault="00CD581C" w:rsidP="00CD581C">
      <w:r>
        <w:t>Wojewódzki Sąd Administracyjny w Warszawie zważył, co następuje:</w:t>
      </w:r>
    </w:p>
    <w:p w:rsidR="00CD581C" w:rsidRDefault="00CD581C" w:rsidP="00CD581C">
      <w:r>
        <w:t xml:space="preserve">Skarga nie zasługuje </w:t>
      </w:r>
      <w:proofErr w:type="gramStart"/>
      <w:r>
        <w:t>na</w:t>
      </w:r>
      <w:proofErr w:type="gramEnd"/>
      <w:r>
        <w:t xml:space="preserve"> uwzględnienie.</w:t>
      </w:r>
    </w:p>
    <w:p w:rsidR="00CD581C" w:rsidRDefault="00CD581C" w:rsidP="00CD581C">
      <w:proofErr w:type="gramStart"/>
      <w:r>
        <w:t>Podstawę prawną zaskarżonej decyzji stanowił przepis art 41 ust.</w:t>
      </w:r>
      <w:proofErr w:type="gramEnd"/>
      <w:r>
        <w:t xml:space="preserve"> 1 ustawy z dnia 13 czerwca 2003 r. o udzielaniu cudzoziemcom ochrony na terytorium Rzeczypospolitej Polskiej (Dz.U. z 2012 r., poz. 680) zgodnie z którym, jeżeli w toku postępowania inne państwo członkowskie, odpowiedzialne za rozpatrzenie wniosku o nadanie statusu uchodźcy na podstawie rozporządzenia Rady (WE) nr 343/2003, wyrazi zgodę na przejęcie wnioskodawcy lub osoby, w imieniu której wnioskodawca występuje, organ prowadzący postępowanie wydaje decyzję o ich przekazaniu i o umorzeniu postępowania.</w:t>
      </w:r>
    </w:p>
    <w:p w:rsidR="00CD581C" w:rsidRDefault="00CD581C" w:rsidP="00CD581C">
      <w:proofErr w:type="gramStart"/>
      <w:r>
        <w:t>Zgodnie z art.</w:t>
      </w:r>
      <w:proofErr w:type="gramEnd"/>
      <w:r>
        <w:t xml:space="preserve"> </w:t>
      </w:r>
      <w:proofErr w:type="gramStart"/>
      <w:r>
        <w:t>19 ust.</w:t>
      </w:r>
      <w:proofErr w:type="gramEnd"/>
      <w:r>
        <w:t xml:space="preserve"> 1 rozporządzenia Rady (WE) nr 343/2003, w przypadku gdy Państwo Członkowskie, któremu złożono wniosek, zgadza się </w:t>
      </w:r>
      <w:proofErr w:type="gramStart"/>
      <w:r>
        <w:t>na</w:t>
      </w:r>
      <w:proofErr w:type="gramEnd"/>
      <w:r>
        <w:t xml:space="preserve"> przejęcie osoby ubiegającej się o azyl, Państwo Członkowskie, w którym złożony został wniosek o udzielenie azylu, powiadamia wnioskodawcę o decyzji dotyczącej nierozpatrywania wniosku oraz o obowiązku przeniesienia wnioskodawcy do odpowiedzialnego Państwa Członkowskiego. Stosownie do ust. </w:t>
      </w:r>
      <w:proofErr w:type="gramStart"/>
      <w:r>
        <w:t>3 ww.</w:t>
      </w:r>
      <w:proofErr w:type="gramEnd"/>
      <w:r>
        <w:t xml:space="preserve"> artykułu, przeniesienie wnioskodawcy z Państwa Członkowskiego, w którym złożony został wniosek o udzielenie azylu do Państwa Członkowskiego odpowiedzialnego za jego rozpatrywanie jest przeprowadzane zgodnie z prawem krajowym pierwszego Państwa Członkowskiego, po konsultacjach miedzy zainteresowanymi Państwami Członkowskimi, tak szybko, jak to jest możliwe, a najpóźniej w ciągu sześciu miesięcy od zgody na wniosek o przejęcie lub od decyzji w sprawie odwołania się lub rewizji, w przypadku gdy ma ono skutek zawieszający.</w:t>
      </w:r>
    </w:p>
    <w:p w:rsidR="00CD581C" w:rsidRDefault="00CD581C" w:rsidP="00CD581C">
      <w:r>
        <w:lastRenderedPageBreak/>
        <w:t xml:space="preserve">Z ustalonego przez organy stanu faktycznego sprawy i wbrew twierdzeniu skarżącego wynika, że ubiegał się on wcześniej o nadanie statusu uchodźcy </w:t>
      </w:r>
      <w:proofErr w:type="gramStart"/>
      <w:r>
        <w:t>na</w:t>
      </w:r>
      <w:proofErr w:type="gramEnd"/>
      <w:r>
        <w:t xml:space="preserve"> terytorium [...] i [...] (wniosek z dnia [...] maja 2013 r.). Ponadto w postępowaniu dotyczącym wydalenia skarżącego z terytorium RP, zakończonego decyzją Wojewody [...] z dnia [...] maja 2013 r., skarżący podał, że ubiegał się o status uchodźcy na [...].</w:t>
      </w:r>
    </w:p>
    <w:p w:rsidR="00CD581C" w:rsidRDefault="00CD581C" w:rsidP="00CD581C">
      <w:r>
        <w:t xml:space="preserve">W związku z tym za usprawiedliwione należało uznać skierowanie przez Wydział Postępowań Dublińskich Urzędu do Spraw Cudzoziemców do władz [...] wniosku o przejęcie odpowiedzialności za rozpatrzenie wniosku azylowego złożonego przez skarżącego, </w:t>
      </w:r>
      <w:proofErr w:type="gramStart"/>
      <w:r>
        <w:t>na</w:t>
      </w:r>
      <w:proofErr w:type="gramEnd"/>
      <w:r>
        <w:t xml:space="preserve"> podstawie przepisów rozporządzenia Rady (WE) nr 343/2003.</w:t>
      </w:r>
    </w:p>
    <w:p w:rsidR="00CD581C" w:rsidRDefault="00CD581C" w:rsidP="00CD581C">
      <w:r>
        <w:t xml:space="preserve">Władze [...] decyzją z dnia [...] kwietnia 2013 r. wyraziły zgodę </w:t>
      </w:r>
      <w:proofErr w:type="gramStart"/>
      <w:r>
        <w:t>na</w:t>
      </w:r>
      <w:proofErr w:type="gramEnd"/>
      <w:r>
        <w:t xml:space="preserve"> przejęcie odpowiedzialności za rozpatrzenie wniosku azylowego złożonego przez skarżącego.</w:t>
      </w:r>
    </w:p>
    <w:p w:rsidR="00CD581C" w:rsidRDefault="00CD581C" w:rsidP="00CD581C">
      <w:r>
        <w:t xml:space="preserve">Tym samym za prawidłową należało uznać zaskarżoną decyzję w zakresie umorzenia postępowania w zakresie złożonego w dniu [...] maja 2013 r. przez cudzoziemca wniosku o nadanie statusu uchodźcy w RP, skoro </w:t>
      </w:r>
      <w:proofErr w:type="gramStart"/>
      <w:r>
        <w:t>na</w:t>
      </w:r>
      <w:proofErr w:type="gramEnd"/>
      <w:r>
        <w:t xml:space="preserve"> podstawie powołanego art. </w:t>
      </w:r>
      <w:proofErr w:type="gramStart"/>
      <w:r>
        <w:t>19 ust.</w:t>
      </w:r>
      <w:proofErr w:type="gramEnd"/>
      <w:r>
        <w:t xml:space="preserve"> 1 rozporządzenia Rady (WE) nr 343/2003 przeniesienie wnioskodawcy z Państwa Członkowskiego, w którym złożony został wniosek o udzielenie azylu do Państwa Członkowskiego odpowiedzialnego za jego rozpatrywanie jest przeprowadzane zgodnie z prawem krajowym pierwszego Państwa Członkowskiego. Wobec tego ciężar rozpoznania tego wniosku przyjęły </w:t>
      </w:r>
      <w:proofErr w:type="gramStart"/>
      <w:r>
        <w:t>na</w:t>
      </w:r>
      <w:proofErr w:type="gramEnd"/>
      <w:r>
        <w:t xml:space="preserve"> siebie władze [...].</w:t>
      </w:r>
    </w:p>
    <w:p w:rsidR="00CD581C" w:rsidRDefault="00CD581C" w:rsidP="00CD581C">
      <w:r>
        <w:t xml:space="preserve">Odnosząc się do zarzutów dotyczących naruszenia art. 7, 15, 77 i 80, 107 § 3 K.p.a., należy wskazać, że nie zasługują one </w:t>
      </w:r>
      <w:proofErr w:type="gramStart"/>
      <w:r>
        <w:t>na</w:t>
      </w:r>
      <w:proofErr w:type="gramEnd"/>
      <w:r>
        <w:t xml:space="preserve"> uwzględnienie. W ocenie Sądu organy prawidłowo zebrały i rozpatrzyły w niniejszej sprawie materiał dowodowy konieczny do rozstrzygnięcia sprawy.</w:t>
      </w:r>
    </w:p>
    <w:p w:rsidR="00CD581C" w:rsidRDefault="00CD581C" w:rsidP="00CD581C">
      <w:r>
        <w:t xml:space="preserve">Powołany </w:t>
      </w:r>
      <w:proofErr w:type="gramStart"/>
      <w:r>
        <w:t>na</w:t>
      </w:r>
      <w:proofErr w:type="gramEnd"/>
      <w:r>
        <w:t xml:space="preserve"> wstępie art. </w:t>
      </w:r>
      <w:proofErr w:type="gramStart"/>
      <w:r>
        <w:t>41 ust.</w:t>
      </w:r>
      <w:proofErr w:type="gramEnd"/>
      <w:r>
        <w:t xml:space="preserve"> </w:t>
      </w:r>
      <w:proofErr w:type="gramStart"/>
      <w:r>
        <w:t>ustawy</w:t>
      </w:r>
      <w:proofErr w:type="gramEnd"/>
      <w:r>
        <w:t xml:space="preserve"> o udzielaniu cudzoziemcom ochrony na terytorium Rzeczypospolitej Polskiej, poprzez użycie przez ustawodawcę zwrotu "organ prowadzący postępowanie wydaje decyzję" nie pozwala na jakąkolwiek uznaniowość przy jego zastosowaniu. Skoro władze [...] wyraziły zgodę </w:t>
      </w:r>
      <w:proofErr w:type="gramStart"/>
      <w:r>
        <w:t>na</w:t>
      </w:r>
      <w:proofErr w:type="gramEnd"/>
      <w:r>
        <w:t xml:space="preserve"> przejecie wnioskodawcy, to organ zobowiązany był do wydania decyzji o przekazaniu skarżącego oraz o umorzeniu postępowania o nadanie statusu uchodźcy w Polsce. Organy nie miały przy tym obowiązku badania sposobu postępowania z uchodźcami </w:t>
      </w:r>
      <w:proofErr w:type="gramStart"/>
      <w:r>
        <w:t>na</w:t>
      </w:r>
      <w:proofErr w:type="gramEnd"/>
      <w:r>
        <w:t xml:space="preserve"> [...], skoro wiadomo, że państwo to jest członkiem Unii Europejskiej i stosuje europejskie standardy postępowania z cudzoziemcami. Ponadto niezrozumiały dla Sądu jest zarzut, co do sposobu, w który organy miałyby odnieść się do treści decyzji władz [...]. Skoro kraj ten zobowiązał się do rozpoznania wniosku skarżącego o azyl, zasadnie została wszczęta procedura przekazania skarżącego </w:t>
      </w:r>
      <w:proofErr w:type="gramStart"/>
      <w:r>
        <w:t>na</w:t>
      </w:r>
      <w:proofErr w:type="gramEnd"/>
      <w:r>
        <w:t xml:space="preserve"> [...]. Dopiero w sytuacji, gdy [...] odmówiłaby rozpoznania wniosku skarżącego, to </w:t>
      </w:r>
      <w:proofErr w:type="gramStart"/>
      <w:r>
        <w:t>na</w:t>
      </w:r>
      <w:proofErr w:type="gramEnd"/>
      <w:r>
        <w:t xml:space="preserve"> władze RP przeszedłby ten obowiązek. Skoro zaś władze [...] postanowiły rozpoznać przedmiotowy wniosek cudzoziemca, należy przyjąć, że oceniły jego dopuszczalność w świetle rozporządzenia Rady (WE) nr 343/2003, a także oceniły czy ze względu </w:t>
      </w:r>
      <w:proofErr w:type="gramStart"/>
      <w:r>
        <w:t>na</w:t>
      </w:r>
      <w:proofErr w:type="gramEnd"/>
      <w:r>
        <w:t xml:space="preserve"> okres pobytu skarżącego poza [...] są krajem właściwym w sprawie. </w:t>
      </w:r>
      <w:proofErr w:type="gramStart"/>
      <w:r>
        <w:t>W ocenie Sądu, zgromadzony w sprawie materiał dowodowy, w pełni uprawniał organ pierwszej instancji do wydania takiego rozstrzygnięcia.</w:t>
      </w:r>
      <w:proofErr w:type="gramEnd"/>
    </w:p>
    <w:p w:rsidR="00CD581C" w:rsidRDefault="00CD581C" w:rsidP="00CD581C">
      <w:proofErr w:type="gramStart"/>
      <w:r>
        <w:t>Sąd nadto zauważa z urzędu, że w dniu orzekania przez organ odwoławczy nie obowiązywało już rozporządzenie Rady (WE) nr 343/2003 (zostało uchylone z dniem 19 lipca 2013 r.).</w:t>
      </w:r>
      <w:proofErr w:type="gramEnd"/>
      <w:r>
        <w:t xml:space="preserve"> Nie ma to jednak wpływu </w:t>
      </w:r>
      <w:proofErr w:type="gramStart"/>
      <w:r>
        <w:t>na</w:t>
      </w:r>
      <w:proofErr w:type="gramEnd"/>
      <w:r>
        <w:t xml:space="preserve"> wynik sprawy, bowiem zgoda [...] na przejęcie wnioskodawcy została udzielona w dacie, gdy to rozporządzenie obowiązywało. W rozporządzeniu Parlamentu Europejskiego i Radu (UE) NR </w:t>
      </w:r>
      <w:r>
        <w:lastRenderedPageBreak/>
        <w:t xml:space="preserve">604/2013 z dnia 26 czerwca 2013 r. ustanawiającym kryteria i mechanizmy określania Państwa Członkowskiego właściwego dla rozpatrywania wniosku o azyl, wniesionego w jednym z Państw Członkowskich przez obywatela państwa trzeciego, które zastąpiło powołane rozporządzenie, w art. 49 ustalono bowiem, że "niniejsze rozporządzenie stosuje się do wniosków o udzielenie ochrony międzynarodowej złożonych od pierwszego dnia następującego po upływie sześciu miesięcy od jego wejścia w życie od tego dnia niniejsze rozporządzenie będzie stosowane do każdego wniosku o przejęcie lub wtórne przejęcie wnioskodawców, niezależnie od tego, kiedy został złożony wniosek o udzielenie ochrony międzynarodowej. </w:t>
      </w:r>
      <w:proofErr w:type="gramStart"/>
      <w:r>
        <w:t>Państwo członkowskie odpowiedzialne za rozpatrzenie wniosku o udzielenie ochrony międzynarodowej złożonego przed tą datą ustala się zgodnie z kryteriami określonymi w rozporządzeniu (WE) nr 343/2003".</w:t>
      </w:r>
      <w:proofErr w:type="gramEnd"/>
    </w:p>
    <w:p w:rsidR="00CD581C" w:rsidRDefault="00CD581C" w:rsidP="00CD581C">
      <w:r>
        <w:t xml:space="preserve">Podsumowując, w rozpatrywanej sprawie </w:t>
      </w:r>
      <w:proofErr w:type="gramStart"/>
      <w:r>
        <w:t>Sąd</w:t>
      </w:r>
      <w:proofErr w:type="gramEnd"/>
      <w:r>
        <w:t xml:space="preserve"> nie dopatrzył się naruszenia przepisów prawa materialnego, mających wpływ na wynik sprawy, ani naruszenia przepisów prawa procesowego, mogącego mieć istotny wpływ na wynik sprawy. </w:t>
      </w:r>
      <w:proofErr w:type="gramStart"/>
      <w:r>
        <w:t>Także termin przekazania skarżącego ma [...] został ustalony w sposób zgodny z prawem.</w:t>
      </w:r>
      <w:proofErr w:type="gramEnd"/>
    </w:p>
    <w:p w:rsidR="006037E2" w:rsidRDefault="00CD581C" w:rsidP="00CD581C">
      <w:r>
        <w:t xml:space="preserve">W tym stanie rzeczy </w:t>
      </w:r>
      <w:proofErr w:type="gramStart"/>
      <w:r>
        <w:t>na</w:t>
      </w:r>
      <w:proofErr w:type="gramEnd"/>
      <w:r>
        <w:t xml:space="preserve"> podstawie art. 151 ustawy z dnia 30 sierpnia 2002 r. Prawo o postępowaniu przed sądami administracyjnymi (Dz.U. z 2012 r., poz. 270 ze zm.) należało orzec jak w sentencji.</w:t>
      </w:r>
    </w:p>
    <w:sectPr w:rsidR="00603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1C"/>
    <w:rsid w:val="006037E2"/>
    <w:rsid w:val="00CD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631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80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Taylor</dc:creator>
  <cp:lastModifiedBy>Amanda Taylor</cp:lastModifiedBy>
  <cp:revision>1</cp:revision>
  <dcterms:created xsi:type="dcterms:W3CDTF">2016-04-13T15:42:00Z</dcterms:created>
  <dcterms:modified xsi:type="dcterms:W3CDTF">2016-04-13T15:43:00Z</dcterms:modified>
</cp:coreProperties>
</file>