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92" w:rsidRPr="00194F92" w:rsidRDefault="000B5968">
      <w:pPr>
        <w:rPr>
          <w:rFonts w:ascii="Times New Roman" w:hAnsi="Times New Roman" w:cs="Times New Roman"/>
          <w:b/>
        </w:rPr>
      </w:pPr>
      <w:bookmarkStart w:id="0" w:name="_GoBack"/>
      <w:bookmarkEnd w:id="0"/>
      <w:r>
        <w:rPr>
          <w:rFonts w:ascii="Times New Roman" w:hAnsi="Times New Roman" w:cs="Times New Roman"/>
          <w:b/>
          <w:bCs/>
          <w:lang w:val="en"/>
        </w:rPr>
        <w:t xml:space="preserve">Győr Administrative and Labour Court </w:t>
      </w:r>
    </w:p>
    <w:p w:rsidR="00BD0786" w:rsidRPr="00194F92" w:rsidRDefault="000B5968">
      <w:pPr>
        <w:rPr>
          <w:rFonts w:ascii="Times New Roman" w:hAnsi="Times New Roman" w:cs="Times New Roman"/>
          <w:b/>
        </w:rPr>
      </w:pPr>
      <w:r>
        <w:rPr>
          <w:rFonts w:ascii="Times New Roman" w:hAnsi="Times New Roman" w:cs="Times New Roman"/>
          <w:b/>
          <w:bCs/>
          <w:lang w:val="en"/>
        </w:rPr>
        <w:t>13.K.27.101/2016/7.</w:t>
      </w:r>
    </w:p>
    <w:p w:rsidR="00194F92" w:rsidRPr="00194F92" w:rsidRDefault="00194F92">
      <w:pPr>
        <w:rPr>
          <w:rFonts w:ascii="Times New Roman" w:hAnsi="Times New Roman" w:cs="Times New Roman"/>
        </w:rPr>
      </w:pPr>
    </w:p>
    <w:p w:rsidR="00194F92" w:rsidRPr="00194F92" w:rsidRDefault="00194F92" w:rsidP="00194F92">
      <w:pPr>
        <w:jc w:val="center"/>
        <w:rPr>
          <w:rFonts w:ascii="Times New Roman" w:hAnsi="Times New Roman" w:cs="Times New Roman"/>
        </w:rPr>
      </w:pPr>
      <w:r>
        <w:rPr>
          <w:rFonts w:ascii="Times New Roman" w:hAnsi="Times New Roman" w:cs="Times New Roman"/>
          <w:noProof/>
          <w:lang w:val="en-GB" w:eastAsia="en-GB" w:bidi="ar-SA"/>
        </w:rPr>
        <w:drawing>
          <wp:inline distT="0" distB="0" distL="0" distR="0">
            <wp:extent cx="542925" cy="783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931" cy="792369"/>
                    </a:xfrm>
                    <a:prstGeom prst="rect">
                      <a:avLst/>
                    </a:prstGeom>
                    <a:noFill/>
                    <a:ln>
                      <a:noFill/>
                    </a:ln>
                  </pic:spPr>
                </pic:pic>
              </a:graphicData>
            </a:graphic>
          </wp:inline>
        </w:drawing>
      </w:r>
    </w:p>
    <w:p w:rsidR="00194F92" w:rsidRPr="00194F92" w:rsidRDefault="00194F92">
      <w:pPr>
        <w:rPr>
          <w:rFonts w:ascii="Times New Roman" w:hAnsi="Times New Roman" w:cs="Times New Roman"/>
        </w:rPr>
      </w:pP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Regarding the action brought by Obi Sunday (place of residence: 9061 Vámosszabadi, Szúnyogház u. 3., OIN Vámosszabadi Accommodation Centre) as plaintiff, represented by dr. Szabolcs Sánta, legal counsel (1077 Budapest, Wesselényi u. 35. 1/1.), against the Office of Immigration and Nationality (1903 Budapest, Budafoki út 60. Pf. 314.) as defendant, represented by its acting director dr. Annamária Veres, for the review of an administrative decision, the court has adopted the following</w:t>
      </w:r>
    </w:p>
    <w:p w:rsidR="00194F92" w:rsidRPr="00194F92" w:rsidRDefault="00194F92" w:rsidP="00147570">
      <w:pPr>
        <w:jc w:val="both"/>
        <w:rPr>
          <w:rFonts w:ascii="Times New Roman" w:hAnsi="Times New Roman" w:cs="Times New Roman"/>
        </w:rPr>
      </w:pPr>
    </w:p>
    <w:p w:rsidR="00BD0786" w:rsidRPr="00194F92" w:rsidRDefault="000B5968" w:rsidP="00147570">
      <w:pPr>
        <w:jc w:val="center"/>
        <w:rPr>
          <w:rFonts w:ascii="Times New Roman" w:hAnsi="Times New Roman" w:cs="Times New Roman"/>
          <w:b/>
        </w:rPr>
      </w:pPr>
      <w:r>
        <w:rPr>
          <w:rFonts w:ascii="Times New Roman" w:hAnsi="Times New Roman" w:cs="Times New Roman"/>
          <w:b/>
          <w:bCs/>
          <w:lang w:val="en"/>
        </w:rPr>
        <w:t>judgment:</w:t>
      </w:r>
    </w:p>
    <w:p w:rsidR="00194F92" w:rsidRPr="00194F92" w:rsidRDefault="00194F92" w:rsidP="00147570">
      <w:pPr>
        <w:jc w:val="both"/>
        <w:rPr>
          <w:rFonts w:ascii="Times New Roman" w:hAnsi="Times New Roman" w:cs="Times New Roman"/>
        </w:rPr>
      </w:pP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 xml:space="preserve">The court hereby </w:t>
      </w:r>
      <w:r>
        <w:rPr>
          <w:rFonts w:ascii="Times New Roman" w:hAnsi="Times New Roman" w:cs="Times New Roman"/>
          <w:b/>
          <w:bCs/>
          <w:lang w:val="en"/>
        </w:rPr>
        <w:t>sets aside</w:t>
      </w:r>
      <w:r>
        <w:rPr>
          <w:rFonts w:ascii="Times New Roman" w:hAnsi="Times New Roman" w:cs="Times New Roman"/>
          <w:lang w:val="en"/>
        </w:rPr>
        <w:t xml:space="preserve"> the defendant’s decision number 106-7-24270/10/2015-M, dated 29 January 2016, and</w:t>
      </w:r>
      <w:r>
        <w:rPr>
          <w:rFonts w:ascii="Times New Roman" w:hAnsi="Times New Roman" w:cs="Times New Roman"/>
          <w:b/>
          <w:bCs/>
          <w:lang w:val="en"/>
        </w:rPr>
        <w:t xml:space="preserve"> imposes an obligation on the defendant to carry out a new procedure and make a new decision.</w:t>
      </w:r>
    </w:p>
    <w:p w:rsidR="00194F92" w:rsidRPr="00194F92" w:rsidRDefault="00194F92" w:rsidP="00147570">
      <w:pPr>
        <w:jc w:val="both"/>
        <w:rPr>
          <w:rFonts w:ascii="Times New Roman" w:hAnsi="Times New Roman" w:cs="Times New Roman"/>
        </w:rPr>
      </w:pP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The interpreter’s fees incurred during the case shall be borne by the state.</w:t>
      </w:r>
    </w:p>
    <w:p w:rsidR="00194F92" w:rsidRPr="00194F92" w:rsidRDefault="00194F92" w:rsidP="00147570">
      <w:pPr>
        <w:jc w:val="both"/>
        <w:rPr>
          <w:rFonts w:ascii="Times New Roman" w:hAnsi="Times New Roman" w:cs="Times New Roman"/>
        </w:rPr>
      </w:pP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The judgment is non-appealable.</w:t>
      </w:r>
    </w:p>
    <w:p w:rsidR="00194F92" w:rsidRPr="00194F92" w:rsidRDefault="00194F92" w:rsidP="00147570">
      <w:pPr>
        <w:jc w:val="both"/>
        <w:rPr>
          <w:rFonts w:ascii="Times New Roman" w:hAnsi="Times New Roman" w:cs="Times New Roman"/>
          <w:b/>
        </w:rPr>
      </w:pPr>
    </w:p>
    <w:p w:rsidR="00BD0786" w:rsidRPr="00194F92" w:rsidRDefault="000B5968" w:rsidP="00147570">
      <w:pPr>
        <w:jc w:val="center"/>
        <w:rPr>
          <w:rFonts w:ascii="Times New Roman" w:hAnsi="Times New Roman" w:cs="Times New Roman"/>
          <w:b/>
        </w:rPr>
      </w:pPr>
      <w:r>
        <w:rPr>
          <w:rFonts w:ascii="Times New Roman" w:hAnsi="Times New Roman" w:cs="Times New Roman"/>
          <w:b/>
          <w:bCs/>
          <w:lang w:val="en"/>
        </w:rPr>
        <w:t>Statement of Reasons:</w:t>
      </w:r>
    </w:p>
    <w:p w:rsidR="00194F92" w:rsidRPr="00194F92" w:rsidRDefault="00194F92" w:rsidP="00147570">
      <w:pPr>
        <w:jc w:val="both"/>
        <w:rPr>
          <w:rFonts w:ascii="Times New Roman" w:hAnsi="Times New Roman" w:cs="Times New Roman"/>
        </w:rPr>
      </w:pP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On the basis of the claim form, the defendant’s counterclaim and the attached administrative documents, as well as the plaintiff’s statement made at the trial, the court established the following facts of the case:</w:t>
      </w:r>
    </w:p>
    <w:p w:rsidR="00194F92" w:rsidRPr="00194F92" w:rsidRDefault="00194F92" w:rsidP="00147570">
      <w:pPr>
        <w:jc w:val="both"/>
        <w:rPr>
          <w:rFonts w:ascii="Times New Roman" w:hAnsi="Times New Roman" w:cs="Times New Roman"/>
        </w:rPr>
      </w:pP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The plaintiff submitted an application for recognition as a refugee for the first time on 5 July 2013, and the authority terminated the procedure in its order number 106-6-5067/2013-M dated 9 September 2013, as a result of the plaintiff’s leaving for an unknown location.</w:t>
      </w:r>
    </w:p>
    <w:p w:rsidR="00194F92" w:rsidRPr="00194F92" w:rsidRDefault="00194F92" w:rsidP="00147570">
      <w:pPr>
        <w:jc w:val="both"/>
        <w:rPr>
          <w:rFonts w:ascii="Times New Roman" w:hAnsi="Times New Roman" w:cs="Times New Roman"/>
        </w:rPr>
      </w:pP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The authority rejected the plaintiff’s second application in its decision number 106-7-7654/39/2014-M, dated 23 March 2015, both in respect of recognition as a refugee and recognition as a beneficiary of subsidiary protection, and found that non-refoulement is not applicable in the case.</w:t>
      </w: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The plaintiff submitted a request for a judicial review of the decision. The Győr Administrative and Labour Court set aside the decision of the authority – because of the involvement of an excluded administrator – in its judgment number 13.K.27467/2015/7, dated 8 July 2015, and it ordered the authority to conduct a new procedure and adopt a new decision.</w:t>
      </w:r>
    </w:p>
    <w:p w:rsidR="00194F92" w:rsidRPr="00194F92" w:rsidRDefault="00194F92" w:rsidP="00147570">
      <w:pPr>
        <w:jc w:val="both"/>
        <w:rPr>
          <w:rFonts w:ascii="Times New Roman" w:hAnsi="Times New Roman" w:cs="Times New Roman"/>
        </w:rPr>
      </w:pPr>
    </w:p>
    <w:p w:rsidR="00194F92" w:rsidRDefault="000B5968" w:rsidP="00147570">
      <w:pPr>
        <w:jc w:val="both"/>
        <w:rPr>
          <w:rFonts w:ascii="Times New Roman" w:hAnsi="Times New Roman" w:cs="Times New Roman"/>
        </w:rPr>
      </w:pPr>
      <w:r>
        <w:rPr>
          <w:rFonts w:ascii="Times New Roman" w:hAnsi="Times New Roman" w:cs="Times New Roman"/>
          <w:lang w:val="en"/>
        </w:rPr>
        <w:t>The repeated hearing of the plaintiff was held on 11 November 2015. At that hearing the plaintiff stated that in 2007, at his place of residence, he ate from a forbidden plant, the yam vine owned by his neighbour. According to local customs, it is forbidden to take yam without permission. The</w:t>
      </w:r>
    </w:p>
    <w:p w:rsidR="00194F92" w:rsidRDefault="00194F92">
      <w:pPr>
        <w:rPr>
          <w:rFonts w:ascii="Times New Roman" w:hAnsi="Times New Roman" w:cs="Times New Roman"/>
        </w:rPr>
      </w:pPr>
      <w:r>
        <w:rPr>
          <w:rFonts w:ascii="Times New Roman" w:hAnsi="Times New Roman" w:cs="Times New Roman"/>
          <w:lang w:val="en"/>
        </w:rPr>
        <w:br w:type="page"/>
      </w:r>
    </w:p>
    <w:p w:rsidR="00194F92" w:rsidRPr="00194F92" w:rsidRDefault="000B5968">
      <w:pPr>
        <w:rPr>
          <w:rFonts w:ascii="Times New Roman" w:hAnsi="Times New Roman" w:cs="Times New Roman"/>
          <w:b/>
        </w:rPr>
      </w:pPr>
      <w:r>
        <w:rPr>
          <w:rFonts w:ascii="Times New Roman" w:hAnsi="Times New Roman" w:cs="Times New Roman"/>
          <w:b/>
          <w:bCs/>
          <w:lang w:val="en"/>
        </w:rPr>
        <w:lastRenderedPageBreak/>
        <w:t xml:space="preserve">Győr Administrative and Labour Court </w:t>
      </w:r>
    </w:p>
    <w:p w:rsidR="00BD0786" w:rsidRPr="00194F92" w:rsidRDefault="000B5968">
      <w:pPr>
        <w:rPr>
          <w:rFonts w:ascii="Times New Roman" w:hAnsi="Times New Roman" w:cs="Times New Roman"/>
          <w:b/>
        </w:rPr>
      </w:pPr>
      <w:r>
        <w:rPr>
          <w:rFonts w:ascii="Times New Roman" w:hAnsi="Times New Roman" w:cs="Times New Roman"/>
          <w:b/>
          <w:bCs/>
          <w:lang w:val="en"/>
        </w:rPr>
        <w:t>13.K.27.101/2016/7.</w:t>
      </w:r>
    </w:p>
    <w:p w:rsidR="00194F92" w:rsidRPr="00194F92" w:rsidRDefault="00194F92">
      <w:pPr>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plaintiff’s neighbour reported the event to the oracle of the village. After that the council of elders decided that he had to leave Nigeria and so he fled to Lagos. He mentioned his homosexuality as another reason for his flight.</w:t>
      </w:r>
    </w:p>
    <w:p w:rsidR="00194F92" w:rsidRPr="00194F92" w:rsidRDefault="00194F92"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 xml:space="preserve"> He found out from his grandmother that a list had been made containing the homosexual people living in his village. The police obtained this list, and therefore they were looking for him.</w:t>
      </w:r>
    </w:p>
    <w:p w:rsidR="00194F92" w:rsidRPr="00194F92" w:rsidRDefault="00194F92"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The plaintiff did not mention any new facts or circumstances during the procedure repeated before the authority, therefore the defendant took the previously made statements as a basis.</w:t>
      </w:r>
    </w:p>
    <w:p w:rsidR="00194F92" w:rsidRPr="00194F92" w:rsidRDefault="00194F92"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The defendant interviewed the plaintiff on 5 August 2014 during a preliminary assessment procedure. The plaintiff related that he was of Ibo ethnicity, he was unmarried, he had no children and he used to help his father in trading in his native country. He left his native country in 2009, and first he travelled to Syria and then via Turkey to Greece , where he married in 2012, but a year later he divorced. He left for Hungary in spring 2013, through Macedonia and Serbia. He told the authority that his mother had died when he was very young. When he ate from the yam, his stepmother took him to the oracle. At the end of his hearing, the plaintiff said that when he was young, he used to be the member of a group in which men slept with men, and that in his opinion this was absolutely fine.</w:t>
      </w:r>
    </w:p>
    <w:p w:rsidR="00194F92" w:rsidRPr="00194F92" w:rsidRDefault="00194F92"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His next hearing was held on 18 August 2014. At that hearing he stated that he had lived with his grandmother and that he never knew his parents. The plaintiff confessed to his grandmother that he ate from the neighbour’s yam and she took him to the oracle. He married a woman in Greece in order to be able to work but the authorities made investigations, withdrew his papers and in the end he had to leave Greece. Regarding the route of his escape the plaintiff repeated the content of his previous statements.</w:t>
      </w:r>
    </w:p>
    <w:p w:rsidR="00194F92" w:rsidRPr="00194F92" w:rsidRDefault="00194F92"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The defendant interviewed the plaintiff during a detailed assessment procedure on 24 November 2014, where the plaintiff explained that he used to live with his grandmother in Nigeria, and that he knew his mother, who lived with them until her death. He had a relationship with a woman only in Greece, and he only entered into such relationship for the purpose of obtaining a right of residence but, when the woman found out that he was homosexual, she left him. He related the story of his escape in accordance with his previous statements.</w:t>
      </w:r>
    </w:p>
    <w:p w:rsidR="00194F92" w:rsidRPr="00194F92" w:rsidRDefault="00194F92"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For the purpose of making a decision on the plaintiff’s application and clarifying the facts of the case, the defendant found it necessary to conduct a medical expert examination to establish the plaintiff’s sexual orientation.</w:t>
      </w:r>
    </w:p>
    <w:p w:rsidR="00194F92" w:rsidRPr="00194F92" w:rsidRDefault="00194F92" w:rsidP="00147570">
      <w:pPr>
        <w:jc w:val="both"/>
        <w:rPr>
          <w:rFonts w:ascii="Times New Roman" w:hAnsi="Times New Roman" w:cs="Times New Roman"/>
        </w:rPr>
      </w:pP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After obtaining country-specific information, in its decision number 106-7-24270/10/2015-M, dated 29 January 2016, the defendant rejected the plaintiff’s application for recognition both as a refugee and as a beneficiary of subsidiary protection, and found that non-refoulement did not apply to the case.</w:t>
      </w:r>
    </w:p>
    <w:p w:rsidR="00BD0786" w:rsidRPr="00194F92" w:rsidRDefault="000B5968" w:rsidP="00524324">
      <w:pPr>
        <w:jc w:val="both"/>
        <w:rPr>
          <w:rFonts w:ascii="Times New Roman" w:hAnsi="Times New Roman" w:cs="Times New Roman"/>
        </w:rPr>
      </w:pPr>
      <w:r>
        <w:rPr>
          <w:rFonts w:ascii="Times New Roman" w:hAnsi="Times New Roman" w:cs="Times New Roman"/>
          <w:lang w:val="en"/>
        </w:rPr>
        <w:t xml:space="preserve">The defendant recorded in the statement of reasons attached to its decision that it still did not consider the plaintiff credible. Essentially, the plaintiff mentioned the same reasons regarding his problems in connection with his leaving his native country, but he provided contradictory </w:t>
      </w:r>
      <w:r>
        <w:rPr>
          <w:rFonts w:ascii="Times New Roman" w:hAnsi="Times New Roman" w:cs="Times New Roman"/>
          <w:lang w:val="en"/>
        </w:rPr>
        <w:lastRenderedPageBreak/>
        <w:t>and</w:t>
      </w:r>
      <w:r w:rsidR="00524324">
        <w:rPr>
          <w:rFonts w:ascii="Times New Roman" w:hAnsi="Times New Roman" w:cs="Times New Roman"/>
          <w:lang w:val="en"/>
        </w:rPr>
        <w:t xml:space="preserve"> </w:t>
      </w:r>
    </w:p>
    <w:p w:rsidR="00194F92" w:rsidRPr="00194F92" w:rsidRDefault="000B5968">
      <w:pPr>
        <w:rPr>
          <w:rFonts w:ascii="Times New Roman" w:hAnsi="Times New Roman" w:cs="Times New Roman"/>
          <w:b/>
        </w:rPr>
      </w:pPr>
      <w:proofErr w:type="spellStart"/>
      <w:r>
        <w:rPr>
          <w:rFonts w:ascii="Times New Roman" w:hAnsi="Times New Roman" w:cs="Times New Roman"/>
          <w:b/>
          <w:bCs/>
          <w:lang w:val="en"/>
        </w:rPr>
        <w:t>Győr</w:t>
      </w:r>
      <w:proofErr w:type="spellEnd"/>
      <w:r>
        <w:rPr>
          <w:rFonts w:ascii="Times New Roman" w:hAnsi="Times New Roman" w:cs="Times New Roman"/>
          <w:b/>
          <w:bCs/>
          <w:lang w:val="en"/>
        </w:rPr>
        <w:t xml:space="preserve"> Administrative and </w:t>
      </w:r>
      <w:proofErr w:type="spellStart"/>
      <w:r>
        <w:rPr>
          <w:rFonts w:ascii="Times New Roman" w:hAnsi="Times New Roman" w:cs="Times New Roman"/>
          <w:b/>
          <w:bCs/>
          <w:lang w:val="en"/>
        </w:rPr>
        <w:t>Labour</w:t>
      </w:r>
      <w:proofErr w:type="spellEnd"/>
      <w:r>
        <w:rPr>
          <w:rFonts w:ascii="Times New Roman" w:hAnsi="Times New Roman" w:cs="Times New Roman"/>
          <w:b/>
          <w:bCs/>
          <w:lang w:val="en"/>
        </w:rPr>
        <w:t xml:space="preserve"> Court </w:t>
      </w:r>
    </w:p>
    <w:p w:rsidR="00BD0786" w:rsidRPr="00194F92" w:rsidRDefault="000B5968">
      <w:pPr>
        <w:rPr>
          <w:rFonts w:ascii="Times New Roman" w:hAnsi="Times New Roman" w:cs="Times New Roman"/>
          <w:b/>
        </w:rPr>
      </w:pPr>
      <w:r>
        <w:rPr>
          <w:rFonts w:ascii="Times New Roman" w:hAnsi="Times New Roman" w:cs="Times New Roman"/>
          <w:b/>
          <w:bCs/>
          <w:lang w:val="en"/>
        </w:rPr>
        <w:t>13</w:t>
      </w:r>
      <w:proofErr w:type="gramStart"/>
      <w:r>
        <w:rPr>
          <w:rFonts w:ascii="Times New Roman" w:hAnsi="Times New Roman" w:cs="Times New Roman"/>
          <w:b/>
          <w:bCs/>
          <w:lang w:val="en"/>
        </w:rPr>
        <w:t>.K.27.101</w:t>
      </w:r>
      <w:proofErr w:type="gramEnd"/>
      <w:r>
        <w:rPr>
          <w:rFonts w:ascii="Times New Roman" w:hAnsi="Times New Roman" w:cs="Times New Roman"/>
          <w:b/>
          <w:bCs/>
          <w:lang w:val="en"/>
        </w:rPr>
        <w:t>/2016/7.</w:t>
      </w:r>
    </w:p>
    <w:p w:rsidR="00194F92" w:rsidRPr="00194F92" w:rsidRDefault="00194F92">
      <w:pPr>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inconsistent information at several points during his account. The defendant explained that the plaintiff made inconsistent statements concerning his family relationships, his homosexuality and his stay in Greece.</w:t>
      </w:r>
    </w:p>
    <w:p w:rsidR="00194F92" w:rsidRPr="00194F92" w:rsidRDefault="00194F92"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The defendant was of the opinion that the plaintiff could not substantiate personal persecution or the threat of any serious harm in the event of his return, which is required for his recognition as a refugee. The rejection decision was based on the inconsistent statements relating to the story of the plaintiff’s escape and the expert opinion of a forensic psychiatrist, and it stated that the plaintiff’s credibility was questioned during the asylum procedure.</w:t>
      </w:r>
    </w:p>
    <w:p w:rsidR="00194F92" w:rsidRPr="00194F92" w:rsidRDefault="00194F92"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On 17 February 2016, the plaintiff submitted a claim for the judicial review of the decision, in which he requested the court to set aside the defendant’s decision and order the defendant to conduct a new procedure.</w:t>
      </w:r>
    </w:p>
    <w:p w:rsidR="00194F92" w:rsidRPr="00194F92" w:rsidRDefault="00194F92"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In its counterclaim, the defendant requested the rejection of the plaintiff’s claim in its entirety. The defendant underlined that it assessed the available facts both one by one and in aggregate, complying with its obligations under substantive law and procedural law, correctly interpreting the relevant laws.</w:t>
      </w:r>
    </w:p>
    <w:p w:rsidR="00194F92" w:rsidRPr="00194F92" w:rsidRDefault="00194F92" w:rsidP="00194F92">
      <w:pPr>
        <w:jc w:val="center"/>
        <w:rPr>
          <w:rFonts w:ascii="Times New Roman" w:hAnsi="Times New Roman" w:cs="Times New Roman"/>
        </w:rPr>
      </w:pPr>
    </w:p>
    <w:p w:rsidR="00194F92" w:rsidRPr="00194F92" w:rsidRDefault="00194F92" w:rsidP="00194F92">
      <w:pPr>
        <w:jc w:val="center"/>
        <w:rPr>
          <w:rFonts w:ascii="Times New Roman" w:hAnsi="Times New Roman" w:cs="Times New Roman"/>
        </w:rPr>
      </w:pPr>
      <w:r>
        <w:rPr>
          <w:rFonts w:ascii="Times New Roman" w:hAnsi="Times New Roman" w:cs="Times New Roman"/>
          <w:lang w:val="en"/>
        </w:rPr>
        <w:t>*****</w:t>
      </w:r>
    </w:p>
    <w:p w:rsidR="00194F92" w:rsidRPr="00194F92" w:rsidRDefault="00194F92">
      <w:pPr>
        <w:rPr>
          <w:rFonts w:ascii="Times New Roman" w:hAnsi="Times New Roman" w:cs="Times New Roman"/>
        </w:rPr>
      </w:pPr>
    </w:p>
    <w:p w:rsidR="00BD0786" w:rsidRPr="00194F92" w:rsidRDefault="000B5968" w:rsidP="00147570">
      <w:pPr>
        <w:jc w:val="both"/>
        <w:rPr>
          <w:rFonts w:ascii="Times New Roman" w:hAnsi="Times New Roman" w:cs="Times New Roman"/>
          <w:u w:val="single"/>
        </w:rPr>
      </w:pPr>
      <w:r>
        <w:rPr>
          <w:rFonts w:ascii="Times New Roman" w:hAnsi="Times New Roman" w:cs="Times New Roman"/>
          <w:u w:val="single"/>
          <w:lang w:val="en"/>
        </w:rPr>
        <w:t xml:space="preserve">The plaintiff’s claim is </w:t>
      </w:r>
      <w:r>
        <w:rPr>
          <w:rFonts w:ascii="Times New Roman" w:hAnsi="Times New Roman" w:cs="Times New Roman"/>
          <w:b/>
          <w:bCs/>
          <w:u w:val="single"/>
          <w:lang w:val="en"/>
        </w:rPr>
        <w:t>well-founded</w:t>
      </w:r>
      <w:r>
        <w:rPr>
          <w:rFonts w:ascii="Times New Roman" w:hAnsi="Times New Roman" w:cs="Times New Roman"/>
          <w:u w:val="single"/>
          <w:lang w:val="en"/>
        </w:rPr>
        <w:t xml:space="preserve"> for the following reasons:</w:t>
      </w:r>
    </w:p>
    <w:p w:rsidR="00194F92" w:rsidRPr="00194F92" w:rsidRDefault="00194F92" w:rsidP="00147570">
      <w:pPr>
        <w:jc w:val="both"/>
        <w:rPr>
          <w:rFonts w:ascii="Times New Roman" w:hAnsi="Times New Roman" w:cs="Times New Roman"/>
        </w:rPr>
      </w:pPr>
    </w:p>
    <w:p w:rsidR="00BD0786" w:rsidRPr="00194F92" w:rsidRDefault="000B5968" w:rsidP="00147570">
      <w:pPr>
        <w:jc w:val="both"/>
        <w:rPr>
          <w:rFonts w:ascii="Times New Roman" w:hAnsi="Times New Roman" w:cs="Times New Roman"/>
          <w:i/>
        </w:rPr>
      </w:pPr>
      <w:r>
        <w:rPr>
          <w:rFonts w:ascii="Times New Roman" w:hAnsi="Times New Roman" w:cs="Times New Roman"/>
          <w:i/>
          <w:iCs/>
          <w:lang w:val="en"/>
        </w:rPr>
        <w:t>Pursuant to Section 68(1) (effective from 15 September 2015) of Act LXXX of 2007 on Asylum (hereinafter: the Asylum Act), which is also applicable to this procedure, an applicant may request the judicial review of a decision rejecting his application.</w:t>
      </w:r>
    </w:p>
    <w:p w:rsidR="00BD0786" w:rsidRPr="00194F92" w:rsidRDefault="000B5968" w:rsidP="00147570">
      <w:pPr>
        <w:jc w:val="both"/>
        <w:rPr>
          <w:rFonts w:ascii="Times New Roman" w:hAnsi="Times New Roman" w:cs="Times New Roman"/>
          <w:i/>
        </w:rPr>
      </w:pPr>
      <w:r>
        <w:rPr>
          <w:rFonts w:ascii="Times New Roman" w:hAnsi="Times New Roman" w:cs="Times New Roman"/>
          <w:i/>
          <w:iCs/>
          <w:lang w:val="en"/>
        </w:rPr>
        <w:t>Pursuant to subsection (2) of the same Section, the statement of claim shall be submitted to the refugee authority within eight days of the communication of the decision. The refugee authority shall forward the statement of claim, together with the documents of the case and its counterclaim, to the court without delay.</w:t>
      </w:r>
    </w:p>
    <w:p w:rsidR="00BD0786" w:rsidRPr="00194F92" w:rsidRDefault="000B5968" w:rsidP="00147570">
      <w:pPr>
        <w:jc w:val="both"/>
        <w:rPr>
          <w:rFonts w:ascii="Times New Roman" w:hAnsi="Times New Roman" w:cs="Times New Roman"/>
          <w:i/>
        </w:rPr>
      </w:pPr>
      <w:r>
        <w:rPr>
          <w:rFonts w:ascii="Times New Roman" w:hAnsi="Times New Roman" w:cs="Times New Roman"/>
          <w:i/>
          <w:iCs/>
          <w:lang w:val="en"/>
        </w:rPr>
        <w:t>According to subsection (3), the court shall decide on the statement of claim in a litigious (adversarial) procedure within sixty days of receipt of the statement of claim. If the applicant is under the effect of a coercive measure restricting personal freedom or a criminal sanction or a measure restricting personal freedom previously ordered in an immigration procedure, the court will conduct a fast-track procedure. The court’s review shall include a complete examination of both the facts and the legal aspects as they exist at the date when the court’s decision is made. If necessary, there shall be a personal hearing in the procedure.</w:t>
      </w:r>
    </w:p>
    <w:p w:rsidR="00194F92" w:rsidRPr="00194F92" w:rsidRDefault="000B5968" w:rsidP="00147570">
      <w:pPr>
        <w:jc w:val="both"/>
        <w:rPr>
          <w:rFonts w:ascii="Times New Roman" w:hAnsi="Times New Roman" w:cs="Times New Roman"/>
          <w:i/>
        </w:rPr>
      </w:pPr>
      <w:r>
        <w:rPr>
          <w:rFonts w:ascii="Times New Roman" w:hAnsi="Times New Roman" w:cs="Times New Roman"/>
          <w:i/>
          <w:iCs/>
          <w:lang w:val="en"/>
        </w:rPr>
        <w:t>Pursuant to subsection (5), the court may not change the decision of the refugee authority; it shall annul any administrative decision found to be against the law – with the exception of the breach of a procedural rule not affecting the merits of the case – and it shall order the authority that adopted the resolution to conduct a new procedure if necessary.</w:t>
      </w:r>
    </w:p>
    <w:p w:rsidR="00194F92" w:rsidRDefault="00194F92">
      <w:pPr>
        <w:rPr>
          <w:rFonts w:ascii="Times New Roman" w:hAnsi="Times New Roman" w:cs="Times New Roman"/>
        </w:rPr>
      </w:pPr>
      <w:r>
        <w:rPr>
          <w:rFonts w:ascii="Times New Roman" w:hAnsi="Times New Roman" w:cs="Times New Roman"/>
          <w:lang w:val="en"/>
        </w:rPr>
        <w:br w:type="page"/>
      </w:r>
    </w:p>
    <w:p w:rsidR="00194F92" w:rsidRPr="00524324" w:rsidRDefault="000B5968">
      <w:pPr>
        <w:rPr>
          <w:rFonts w:ascii="Times New Roman" w:hAnsi="Times New Roman" w:cs="Times New Roman"/>
          <w:b/>
        </w:rPr>
      </w:pPr>
      <w:proofErr w:type="spellStart"/>
      <w:r w:rsidRPr="00524324">
        <w:rPr>
          <w:rFonts w:ascii="Times New Roman" w:hAnsi="Times New Roman" w:cs="Times New Roman"/>
          <w:b/>
          <w:lang w:val="en"/>
        </w:rPr>
        <w:lastRenderedPageBreak/>
        <w:t>Győr</w:t>
      </w:r>
      <w:proofErr w:type="spellEnd"/>
      <w:r w:rsidRPr="00524324">
        <w:rPr>
          <w:rFonts w:ascii="Times New Roman" w:hAnsi="Times New Roman" w:cs="Times New Roman"/>
          <w:b/>
          <w:lang w:val="en"/>
        </w:rPr>
        <w:t xml:space="preserve"> Administrative and </w:t>
      </w:r>
      <w:proofErr w:type="spellStart"/>
      <w:r w:rsidRPr="00524324">
        <w:rPr>
          <w:rFonts w:ascii="Times New Roman" w:hAnsi="Times New Roman" w:cs="Times New Roman"/>
          <w:b/>
          <w:lang w:val="en"/>
        </w:rPr>
        <w:t>Labour</w:t>
      </w:r>
      <w:proofErr w:type="spellEnd"/>
      <w:r w:rsidRPr="00524324">
        <w:rPr>
          <w:rFonts w:ascii="Times New Roman" w:hAnsi="Times New Roman" w:cs="Times New Roman"/>
          <w:b/>
          <w:lang w:val="en"/>
        </w:rPr>
        <w:t xml:space="preserve"> Court </w:t>
      </w:r>
    </w:p>
    <w:p w:rsidR="00BD0786" w:rsidRPr="00524324" w:rsidRDefault="000B5968">
      <w:pPr>
        <w:rPr>
          <w:rFonts w:ascii="Times New Roman" w:hAnsi="Times New Roman" w:cs="Times New Roman"/>
          <w:b/>
        </w:rPr>
      </w:pPr>
      <w:r w:rsidRPr="00524324">
        <w:rPr>
          <w:rFonts w:ascii="Times New Roman" w:hAnsi="Times New Roman" w:cs="Times New Roman"/>
          <w:b/>
          <w:lang w:val="en"/>
        </w:rPr>
        <w:t>13</w:t>
      </w:r>
      <w:proofErr w:type="gramStart"/>
      <w:r w:rsidRPr="00524324">
        <w:rPr>
          <w:rFonts w:ascii="Times New Roman" w:hAnsi="Times New Roman" w:cs="Times New Roman"/>
          <w:b/>
          <w:lang w:val="en"/>
        </w:rPr>
        <w:t>.K.27.101</w:t>
      </w:r>
      <w:proofErr w:type="gramEnd"/>
      <w:r w:rsidRPr="00524324">
        <w:rPr>
          <w:rFonts w:ascii="Times New Roman" w:hAnsi="Times New Roman" w:cs="Times New Roman"/>
          <w:b/>
          <w:lang w:val="en"/>
        </w:rPr>
        <w:t>/2016/7.</w:t>
      </w:r>
    </w:p>
    <w:p w:rsidR="00194F92" w:rsidRPr="00194F92" w:rsidRDefault="00194F92">
      <w:pPr>
        <w:rPr>
          <w:rFonts w:ascii="Times New Roman" w:hAnsi="Times New Roman" w:cs="Times New Roman"/>
        </w:rPr>
      </w:pPr>
    </w:p>
    <w:p w:rsidR="00BD0786" w:rsidRPr="00194F92" w:rsidRDefault="000B5968" w:rsidP="00147570">
      <w:pPr>
        <w:jc w:val="both"/>
        <w:rPr>
          <w:rFonts w:ascii="Times New Roman" w:hAnsi="Times New Roman" w:cs="Times New Roman"/>
          <w:i/>
        </w:rPr>
      </w:pPr>
      <w:r>
        <w:rPr>
          <w:rFonts w:ascii="Times New Roman" w:hAnsi="Times New Roman" w:cs="Times New Roman"/>
          <w:i/>
          <w:iCs/>
          <w:lang w:val="en"/>
        </w:rPr>
        <w:t>According to Section 6(1) of the Asylum Act, Hungary shall recognise as a refugee a foreigner who complies with the requirements stipulated by Article XIV(3) of the Fundamental Law.</w:t>
      </w:r>
    </w:p>
    <w:p w:rsidR="00194F92" w:rsidRPr="00194F92" w:rsidRDefault="00194F92" w:rsidP="00147570">
      <w:pPr>
        <w:jc w:val="both"/>
        <w:rPr>
          <w:rFonts w:ascii="Times New Roman" w:hAnsi="Times New Roman" w:cs="Times New Roman"/>
          <w:i/>
        </w:rPr>
      </w:pPr>
    </w:p>
    <w:p w:rsidR="00BD0786" w:rsidRPr="00194F92" w:rsidRDefault="000B5968" w:rsidP="00147570">
      <w:pPr>
        <w:jc w:val="both"/>
        <w:rPr>
          <w:rFonts w:ascii="Times New Roman" w:hAnsi="Times New Roman" w:cs="Times New Roman"/>
          <w:i/>
        </w:rPr>
      </w:pPr>
      <w:r>
        <w:rPr>
          <w:rFonts w:ascii="Times New Roman" w:hAnsi="Times New Roman" w:cs="Times New Roman"/>
          <w:i/>
          <w:iCs/>
          <w:lang w:val="en"/>
        </w:rPr>
        <w:t>According to Article XIV(3) of the Fundamental Law of Hungary, Hungary shall, upon request, grant asylum to non-Hungarian citizens being persecuted or having a well-founded fear of persecution in their native country or in the country of their usual residence for reasons of race, nationality, membership of a particular social group, or religious or political belief, if they do not receive protection from their country of origin or from any other country.</w:t>
      </w:r>
    </w:p>
    <w:p w:rsidR="00194F92" w:rsidRPr="00194F92" w:rsidRDefault="00194F92" w:rsidP="00147570">
      <w:pPr>
        <w:jc w:val="both"/>
        <w:rPr>
          <w:rFonts w:ascii="Times New Roman" w:hAnsi="Times New Roman" w:cs="Times New Roman"/>
          <w:i/>
        </w:rPr>
      </w:pPr>
    </w:p>
    <w:p w:rsidR="00BD0786" w:rsidRPr="00194F92" w:rsidRDefault="000B5968" w:rsidP="00147570">
      <w:pPr>
        <w:jc w:val="both"/>
        <w:rPr>
          <w:rFonts w:ascii="Times New Roman" w:hAnsi="Times New Roman" w:cs="Times New Roman"/>
          <w:i/>
        </w:rPr>
      </w:pPr>
      <w:r>
        <w:rPr>
          <w:rFonts w:ascii="Times New Roman" w:hAnsi="Times New Roman" w:cs="Times New Roman"/>
          <w:i/>
          <w:iCs/>
          <w:lang w:val="en"/>
        </w:rPr>
        <w:t>Section 7(1) of the Asylum Act provides that except as set out in Section 8(1), the refugee authority shall recognise as a refugee a foreigner who verifies or substantiates that the criteria determined in Section 6(1), in compliance with Article 1 of the Geneva Convention, exist in respect of him.</w:t>
      </w:r>
    </w:p>
    <w:p w:rsidR="00194F92" w:rsidRPr="00194F92" w:rsidRDefault="00194F92"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The defendant stated in its decision that the statutory conditions of recognising the plaintiff as a refugee were not met as he was not persecuted and he was unable to substantiate his well-founded fear of persecution.</w:t>
      </w:r>
    </w:p>
    <w:p w:rsidR="00194F92" w:rsidRPr="00194F92" w:rsidRDefault="00194F92" w:rsidP="00147570">
      <w:pPr>
        <w:jc w:val="both"/>
        <w:rPr>
          <w:rFonts w:ascii="Times New Roman" w:hAnsi="Times New Roman" w:cs="Times New Roman"/>
        </w:rPr>
      </w:pPr>
    </w:p>
    <w:p w:rsidR="00BD0786" w:rsidRPr="00194F92" w:rsidRDefault="000B5968" w:rsidP="00147570">
      <w:pPr>
        <w:tabs>
          <w:tab w:val="left" w:pos="4938"/>
        </w:tabs>
        <w:jc w:val="both"/>
        <w:rPr>
          <w:rFonts w:ascii="Times New Roman" w:hAnsi="Times New Roman" w:cs="Times New Roman"/>
          <w:i/>
        </w:rPr>
      </w:pPr>
      <w:r>
        <w:rPr>
          <w:rFonts w:ascii="Times New Roman" w:hAnsi="Times New Roman" w:cs="Times New Roman"/>
          <w:i/>
          <w:iCs/>
          <w:lang w:val="en"/>
        </w:rPr>
        <w:t>Pursuant to Section 12(1) of the Asylum Act, Hungary shall grant subsidiary protection to a foreign national who does not satisfy the criteria of recognition as a refugee but there is a risk that, in the event of his return to his country of origin, he would be exposed to serious harm and is unable or, owing to fear of such risk, unwilling to avail himself of the protection of his country of origin.</w:t>
      </w:r>
    </w:p>
    <w:p w:rsidR="00194F92" w:rsidRPr="00194F92" w:rsidRDefault="00194F92" w:rsidP="00147570">
      <w:pPr>
        <w:tabs>
          <w:tab w:val="left" w:pos="4938"/>
        </w:tabs>
        <w:jc w:val="both"/>
        <w:rPr>
          <w:rFonts w:ascii="Times New Roman" w:hAnsi="Times New Roman" w:cs="Times New Roman"/>
          <w:i/>
        </w:rPr>
      </w:pPr>
    </w:p>
    <w:p w:rsidR="00BD0786" w:rsidRPr="00194F92" w:rsidRDefault="000B5968" w:rsidP="00147570">
      <w:pPr>
        <w:jc w:val="both"/>
        <w:rPr>
          <w:rFonts w:ascii="Times New Roman" w:hAnsi="Times New Roman" w:cs="Times New Roman"/>
          <w:i/>
        </w:rPr>
      </w:pPr>
      <w:r>
        <w:rPr>
          <w:rFonts w:ascii="Times New Roman" w:hAnsi="Times New Roman" w:cs="Times New Roman"/>
          <w:i/>
          <w:iCs/>
          <w:lang w:val="en"/>
        </w:rPr>
        <w:t>Pursuant to Section 61 of the Asylum Act, during the examination of the criteria for recognition, the following shall be regarded as serious harm:</w:t>
      </w:r>
    </w:p>
    <w:p w:rsidR="00BD0786" w:rsidRPr="00194F92" w:rsidRDefault="00194F92" w:rsidP="00147570">
      <w:pPr>
        <w:tabs>
          <w:tab w:val="left" w:pos="776"/>
        </w:tabs>
        <w:jc w:val="both"/>
        <w:rPr>
          <w:rFonts w:ascii="Times New Roman" w:hAnsi="Times New Roman" w:cs="Times New Roman"/>
          <w:i/>
        </w:rPr>
      </w:pPr>
      <w:r>
        <w:rPr>
          <w:rFonts w:ascii="Times New Roman" w:hAnsi="Times New Roman" w:cs="Times New Roman"/>
          <w:i/>
          <w:iCs/>
          <w:lang w:val="en"/>
        </w:rPr>
        <w:t>a) threat of the death penalty;</w:t>
      </w:r>
    </w:p>
    <w:p w:rsidR="00BD0786" w:rsidRPr="00194F92" w:rsidRDefault="00194F92" w:rsidP="00147570">
      <w:pPr>
        <w:tabs>
          <w:tab w:val="left" w:pos="776"/>
        </w:tabs>
        <w:jc w:val="both"/>
        <w:rPr>
          <w:rFonts w:ascii="Times New Roman" w:hAnsi="Times New Roman" w:cs="Times New Roman"/>
          <w:i/>
        </w:rPr>
      </w:pPr>
      <w:r>
        <w:rPr>
          <w:rFonts w:ascii="Times New Roman" w:hAnsi="Times New Roman" w:cs="Times New Roman"/>
          <w:i/>
          <w:iCs/>
          <w:lang w:val="en"/>
        </w:rPr>
        <w:t>b) being subjected to torture, cruel, inhuman or degrading treatment or punishment;</w:t>
      </w:r>
    </w:p>
    <w:p w:rsidR="00BD0786" w:rsidRPr="00194F92" w:rsidRDefault="00194F92" w:rsidP="00147570">
      <w:pPr>
        <w:tabs>
          <w:tab w:val="left" w:pos="776"/>
        </w:tabs>
        <w:jc w:val="both"/>
        <w:rPr>
          <w:rFonts w:ascii="Times New Roman" w:hAnsi="Times New Roman" w:cs="Times New Roman"/>
          <w:i/>
        </w:rPr>
      </w:pPr>
      <w:r>
        <w:rPr>
          <w:rFonts w:ascii="Times New Roman" w:hAnsi="Times New Roman" w:cs="Times New Roman"/>
          <w:i/>
          <w:iCs/>
          <w:lang w:val="en"/>
        </w:rPr>
        <w:t>c) a serious threat to the life or physical integrity of a civilian person which is the consequence of indiscriminate violence used in the course of an international or internal armed conflict.</w:t>
      </w:r>
    </w:p>
    <w:p w:rsidR="00194F92" w:rsidRPr="00194F92" w:rsidRDefault="00194F92" w:rsidP="00147570">
      <w:pPr>
        <w:tabs>
          <w:tab w:val="left" w:pos="776"/>
        </w:tabs>
        <w:jc w:val="both"/>
        <w:rPr>
          <w:rFonts w:ascii="Times New Roman" w:hAnsi="Times New Roman" w:cs="Times New Roman"/>
          <w:i/>
        </w:rPr>
      </w:pPr>
    </w:p>
    <w:p w:rsidR="00BD0786" w:rsidRPr="00194F92" w:rsidRDefault="000B5968" w:rsidP="00147570">
      <w:pPr>
        <w:jc w:val="both"/>
        <w:rPr>
          <w:rFonts w:ascii="Times New Roman" w:hAnsi="Times New Roman" w:cs="Times New Roman"/>
          <w:i/>
        </w:rPr>
      </w:pPr>
      <w:r>
        <w:rPr>
          <w:rFonts w:ascii="Times New Roman" w:hAnsi="Times New Roman" w:cs="Times New Roman"/>
          <w:i/>
          <w:iCs/>
          <w:lang w:val="en"/>
        </w:rPr>
        <w:t>Pursuant to Section 63(1) of the Asylum Act, protection against persecution or serious harm may be regarded as provided if effective means are available in the state from which the applicant is forced to flee to prevent persecution or acts causing serious harm as well as to punish the persons committing acts constituting persecution or causing serious harm, and the applicant is able to avail himself of such protection.</w:t>
      </w:r>
    </w:p>
    <w:p w:rsidR="00194F92" w:rsidRDefault="000B5968" w:rsidP="00147570">
      <w:pPr>
        <w:jc w:val="both"/>
        <w:rPr>
          <w:rFonts w:ascii="Times New Roman" w:hAnsi="Times New Roman" w:cs="Times New Roman"/>
          <w:i/>
        </w:rPr>
      </w:pPr>
      <w:r>
        <w:rPr>
          <w:rFonts w:ascii="Times New Roman" w:hAnsi="Times New Roman" w:cs="Times New Roman"/>
          <w:i/>
          <w:iCs/>
          <w:lang w:val="en"/>
        </w:rPr>
        <w:t>According to subsection (2), the protection defined in subsection (1) may also be regarded as provided if the requirement of well-founded fear or the effective risk of serious harm is not met in a part of the country from which the applicant is forced to flee, and the applicant can reasonably be expected to remain in that part of the country.</w:t>
      </w:r>
    </w:p>
    <w:p w:rsidR="00194F92" w:rsidRDefault="00194F92">
      <w:pPr>
        <w:rPr>
          <w:rFonts w:ascii="Times New Roman" w:hAnsi="Times New Roman" w:cs="Times New Roman"/>
          <w:i/>
        </w:rPr>
      </w:pPr>
      <w:r>
        <w:rPr>
          <w:rFonts w:ascii="Times New Roman" w:hAnsi="Times New Roman" w:cs="Times New Roman"/>
          <w:i/>
          <w:iCs/>
          <w:lang w:val="en"/>
        </w:rPr>
        <w:br w:type="page"/>
      </w:r>
    </w:p>
    <w:p w:rsidR="00194F92" w:rsidRPr="00F574AE" w:rsidRDefault="000B5968">
      <w:pPr>
        <w:rPr>
          <w:rFonts w:ascii="Times New Roman" w:hAnsi="Times New Roman" w:cs="Times New Roman"/>
          <w:b/>
        </w:rPr>
      </w:pPr>
      <w:r>
        <w:rPr>
          <w:rFonts w:ascii="Times New Roman" w:hAnsi="Times New Roman" w:cs="Times New Roman"/>
          <w:b/>
          <w:bCs/>
          <w:lang w:val="en"/>
        </w:rPr>
        <w:lastRenderedPageBreak/>
        <w:t xml:space="preserve">Győr Administrative and Labour Court </w:t>
      </w:r>
    </w:p>
    <w:p w:rsidR="00BD0786" w:rsidRPr="00F574AE" w:rsidRDefault="000B5968">
      <w:pPr>
        <w:rPr>
          <w:rFonts w:ascii="Times New Roman" w:hAnsi="Times New Roman" w:cs="Times New Roman"/>
          <w:b/>
        </w:rPr>
      </w:pPr>
      <w:r>
        <w:rPr>
          <w:rFonts w:ascii="Times New Roman" w:hAnsi="Times New Roman" w:cs="Times New Roman"/>
          <w:b/>
          <w:bCs/>
          <w:lang w:val="en"/>
        </w:rPr>
        <w:t>13.K.27.101/2016/7.</w:t>
      </w:r>
    </w:p>
    <w:p w:rsidR="00194F92" w:rsidRPr="00194F92" w:rsidRDefault="00194F92">
      <w:pPr>
        <w:rPr>
          <w:rFonts w:ascii="Times New Roman" w:hAnsi="Times New Roman" w:cs="Times New Roman"/>
          <w:i/>
        </w:rPr>
      </w:pPr>
    </w:p>
    <w:p w:rsidR="00BD0786" w:rsidRPr="00F574AE" w:rsidRDefault="000B5968" w:rsidP="00147570">
      <w:pPr>
        <w:jc w:val="both"/>
        <w:rPr>
          <w:rFonts w:ascii="Times New Roman" w:hAnsi="Times New Roman" w:cs="Times New Roman"/>
          <w:i/>
        </w:rPr>
      </w:pPr>
      <w:r>
        <w:rPr>
          <w:rFonts w:ascii="Times New Roman" w:hAnsi="Times New Roman" w:cs="Times New Roman"/>
          <w:i/>
          <w:iCs/>
          <w:lang w:val="en"/>
        </w:rPr>
        <w:t>Pursuant to Section 92(1) of Government Decree 301/2007 (XI. 9) implementing the Asylum Act (hereinafter: the Implementing Decree), when applying Section 63(2) of the Act, the refugee authority</w:t>
      </w:r>
    </w:p>
    <w:p w:rsidR="00BD0786" w:rsidRPr="00F574AE" w:rsidRDefault="00194F92" w:rsidP="00147570">
      <w:pPr>
        <w:tabs>
          <w:tab w:val="left" w:pos="885"/>
        </w:tabs>
        <w:ind w:firstLine="360"/>
        <w:jc w:val="both"/>
        <w:rPr>
          <w:rFonts w:ascii="Times New Roman" w:hAnsi="Times New Roman" w:cs="Times New Roman"/>
          <w:i/>
        </w:rPr>
      </w:pPr>
      <w:r>
        <w:rPr>
          <w:rFonts w:ascii="Times New Roman" w:hAnsi="Times New Roman" w:cs="Times New Roman"/>
          <w:i/>
          <w:iCs/>
          <w:lang w:val="en"/>
        </w:rPr>
        <w:t>(a) shall examine if protection is available to the applicant if he returns to the country from which he was forced to flee;</w:t>
      </w:r>
    </w:p>
    <w:p w:rsidR="00BD0786" w:rsidRPr="00F574AE" w:rsidRDefault="00194F92" w:rsidP="00147570">
      <w:pPr>
        <w:tabs>
          <w:tab w:val="left" w:pos="900"/>
        </w:tabs>
        <w:ind w:firstLine="360"/>
        <w:jc w:val="both"/>
        <w:rPr>
          <w:rFonts w:ascii="Times New Roman" w:hAnsi="Times New Roman" w:cs="Times New Roman"/>
          <w:i/>
        </w:rPr>
      </w:pPr>
      <w:r>
        <w:rPr>
          <w:rFonts w:ascii="Times New Roman" w:hAnsi="Times New Roman" w:cs="Times New Roman"/>
          <w:i/>
          <w:iCs/>
          <w:lang w:val="en"/>
        </w:rPr>
        <w:t>(b) shall specifically name the part of the country in which, in its opinion, protection is provided.</w:t>
      </w:r>
    </w:p>
    <w:p w:rsidR="00BD0786" w:rsidRPr="00F574AE" w:rsidRDefault="000B5968" w:rsidP="00147570">
      <w:pPr>
        <w:jc w:val="both"/>
        <w:rPr>
          <w:rFonts w:ascii="Times New Roman" w:hAnsi="Times New Roman" w:cs="Times New Roman"/>
          <w:i/>
        </w:rPr>
      </w:pPr>
      <w:r>
        <w:rPr>
          <w:rFonts w:ascii="Times New Roman" w:hAnsi="Times New Roman" w:cs="Times New Roman"/>
          <w:i/>
          <w:iCs/>
          <w:lang w:val="en"/>
        </w:rPr>
        <w:t>Pursuant to subsection (2), also having regard to his personal circumstances, the applicant shall be expected to return to the relevant part of the country if</w:t>
      </w:r>
    </w:p>
    <w:p w:rsidR="00BD0786" w:rsidRPr="00F574AE" w:rsidRDefault="00194F92" w:rsidP="00147570">
      <w:pPr>
        <w:tabs>
          <w:tab w:val="left" w:pos="885"/>
        </w:tabs>
        <w:ind w:firstLine="360"/>
        <w:jc w:val="both"/>
        <w:rPr>
          <w:rFonts w:ascii="Times New Roman" w:hAnsi="Times New Roman" w:cs="Times New Roman"/>
          <w:i/>
        </w:rPr>
      </w:pPr>
      <w:r>
        <w:rPr>
          <w:rFonts w:ascii="Times New Roman" w:hAnsi="Times New Roman" w:cs="Times New Roman"/>
          <w:i/>
          <w:iCs/>
          <w:lang w:val="en"/>
        </w:rPr>
        <w:t>(a) the applicant may reach this part of the country lawfully and safely, in a way that is feasible,</w:t>
      </w:r>
    </w:p>
    <w:p w:rsidR="00BD0786" w:rsidRPr="00F574AE" w:rsidRDefault="00194F92" w:rsidP="00147570">
      <w:pPr>
        <w:tabs>
          <w:tab w:val="left" w:pos="892"/>
        </w:tabs>
        <w:ind w:firstLine="360"/>
        <w:jc w:val="both"/>
        <w:rPr>
          <w:rFonts w:ascii="Times New Roman" w:hAnsi="Times New Roman" w:cs="Times New Roman"/>
          <w:i/>
        </w:rPr>
      </w:pPr>
      <w:r>
        <w:rPr>
          <w:rFonts w:ascii="Times New Roman" w:hAnsi="Times New Roman" w:cs="Times New Roman"/>
          <w:i/>
          <w:iCs/>
          <w:lang w:val="en"/>
        </w:rPr>
        <w:t>(b) the applicant has family or relatives in the relevant part of the country or if the applicant’s basic subsistence and accommodation can be ensured by any other means, and</w:t>
      </w:r>
    </w:p>
    <w:p w:rsidR="00BD0786" w:rsidRPr="00F574AE" w:rsidRDefault="00194F92" w:rsidP="00147570">
      <w:pPr>
        <w:tabs>
          <w:tab w:val="left" w:pos="892"/>
        </w:tabs>
        <w:ind w:firstLine="360"/>
        <w:jc w:val="both"/>
        <w:rPr>
          <w:rFonts w:ascii="Times New Roman" w:hAnsi="Times New Roman" w:cs="Times New Roman"/>
          <w:i/>
        </w:rPr>
      </w:pPr>
      <w:r>
        <w:rPr>
          <w:rFonts w:ascii="Times New Roman" w:hAnsi="Times New Roman" w:cs="Times New Roman"/>
          <w:i/>
          <w:iCs/>
          <w:lang w:val="en"/>
        </w:rPr>
        <w:t>(c) there is no risk that the applicant would be subject to persecution, any serious harm or any other serious violation of human rights, regardless of whether these are related to the reasons for his flight presented in his application.</w:t>
      </w:r>
    </w:p>
    <w:p w:rsidR="00BD0786" w:rsidRPr="00F574AE" w:rsidRDefault="000B5968" w:rsidP="00147570">
      <w:pPr>
        <w:jc w:val="both"/>
        <w:rPr>
          <w:rFonts w:ascii="Times New Roman" w:hAnsi="Times New Roman" w:cs="Times New Roman"/>
          <w:i/>
        </w:rPr>
      </w:pPr>
      <w:r>
        <w:rPr>
          <w:rFonts w:ascii="Times New Roman" w:hAnsi="Times New Roman" w:cs="Times New Roman"/>
          <w:i/>
          <w:iCs/>
          <w:lang w:val="en"/>
        </w:rPr>
        <w:t>Based on subsection (3), when applying subsection (2), the refugee authority primarily assesses the applicant’s health condition, his need for special treatment, his age, sex, religion, ethnicity and cultural affiliation as his individual circumstances.</w:t>
      </w:r>
    </w:p>
    <w:p w:rsidR="00BD0786" w:rsidRPr="00F574AE" w:rsidRDefault="000B5968" w:rsidP="00147570">
      <w:pPr>
        <w:tabs>
          <w:tab w:val="left" w:pos="6509"/>
        </w:tabs>
        <w:jc w:val="both"/>
        <w:rPr>
          <w:rFonts w:ascii="Times New Roman" w:hAnsi="Times New Roman" w:cs="Times New Roman"/>
          <w:i/>
        </w:rPr>
      </w:pPr>
      <w:r>
        <w:rPr>
          <w:rFonts w:ascii="Times New Roman" w:hAnsi="Times New Roman" w:cs="Times New Roman"/>
          <w:i/>
          <w:iCs/>
          <w:lang w:val="en"/>
        </w:rPr>
        <w:t>According to subsection (4) the protection mentioned in Section 63(2) of the Act cannot be considered provided if persecution or the serious harm is caused by the country or the party or organisation controlling the entire country, from which the applicant was forced to flee.</w:t>
      </w:r>
    </w:p>
    <w:p w:rsidR="00194F92" w:rsidRPr="00F574AE" w:rsidRDefault="00194F92" w:rsidP="00147570">
      <w:pPr>
        <w:tabs>
          <w:tab w:val="left" w:pos="6509"/>
        </w:tabs>
        <w:jc w:val="both"/>
        <w:rPr>
          <w:rFonts w:ascii="Times New Roman" w:hAnsi="Times New Roman" w:cs="Times New Roman"/>
          <w:i/>
        </w:rPr>
      </w:pPr>
    </w:p>
    <w:p w:rsidR="00BD0786" w:rsidRDefault="000B5968" w:rsidP="00147570">
      <w:pPr>
        <w:jc w:val="both"/>
        <w:rPr>
          <w:rFonts w:ascii="Times New Roman" w:hAnsi="Times New Roman" w:cs="Times New Roman"/>
        </w:rPr>
      </w:pPr>
      <w:r>
        <w:rPr>
          <w:rFonts w:ascii="Times New Roman" w:hAnsi="Times New Roman" w:cs="Times New Roman"/>
          <w:lang w:val="en"/>
        </w:rPr>
        <w:t>As for the plaintiff’s recognition as a beneficiary of subsidiary protection, the defendant did not find it justified to recognise the plaintiff as a beneficiary of subsidiary protection either on the basis of subsection (b) or subsection (c) of Section 61 of the Asylum Act. In connection with this, the defendant argued that the plaintiff was unable to substantiate that he would be subject to serious harm if he returned to his native country; therefore there is no risk of him being subjected to the death penalty, torture, cruel, inhuman or degrading treatment or punishment if he were sent back.</w:t>
      </w:r>
    </w:p>
    <w:p w:rsidR="00194F92" w:rsidRPr="00194F92" w:rsidRDefault="00194F92" w:rsidP="00147570">
      <w:pPr>
        <w:jc w:val="both"/>
        <w:rPr>
          <w:rFonts w:ascii="Times New Roman" w:hAnsi="Times New Roman" w:cs="Times New Roman"/>
        </w:rPr>
      </w:pPr>
    </w:p>
    <w:p w:rsidR="00BD0786" w:rsidRPr="00F574AE" w:rsidRDefault="000B5968" w:rsidP="00147570">
      <w:pPr>
        <w:jc w:val="both"/>
        <w:rPr>
          <w:rFonts w:ascii="Times New Roman" w:hAnsi="Times New Roman" w:cs="Times New Roman"/>
          <w:i/>
        </w:rPr>
      </w:pPr>
      <w:r>
        <w:rPr>
          <w:rFonts w:ascii="Times New Roman" w:hAnsi="Times New Roman" w:cs="Times New Roman"/>
          <w:i/>
          <w:iCs/>
          <w:lang w:val="en"/>
        </w:rPr>
        <w:t>Pursuant to Section 45(1) of the Asylum Act, non-refoulement applies if the person seeking recognition has been exposed to the risk of persecution due to reasons of race, religion, ethnicity, membership of a particular social group or political opinion or to an act specified in Article XIV(2) of the Fundamental Law, in his country of origin, and there is no safe third country which would receive him.</w:t>
      </w:r>
    </w:p>
    <w:p w:rsidR="00194F92" w:rsidRPr="00F574AE" w:rsidRDefault="00194F92" w:rsidP="00147570">
      <w:pPr>
        <w:jc w:val="both"/>
        <w:rPr>
          <w:rFonts w:ascii="Times New Roman" w:hAnsi="Times New Roman" w:cs="Times New Roman"/>
          <w:i/>
        </w:rPr>
      </w:pPr>
    </w:p>
    <w:p w:rsidR="00194F92" w:rsidRPr="00F574AE" w:rsidRDefault="00194F92" w:rsidP="00F574AE">
      <w:pPr>
        <w:jc w:val="center"/>
        <w:rPr>
          <w:rFonts w:ascii="Times New Roman" w:hAnsi="Times New Roman" w:cs="Times New Roman"/>
          <w:b/>
        </w:rPr>
      </w:pPr>
      <w:r>
        <w:rPr>
          <w:rFonts w:ascii="Times New Roman" w:hAnsi="Times New Roman" w:cs="Times New Roman"/>
          <w:b/>
          <w:bCs/>
          <w:lang w:val="en"/>
        </w:rPr>
        <w:t>*****</w:t>
      </w:r>
    </w:p>
    <w:p w:rsidR="00194F92" w:rsidRPr="00194F92" w:rsidRDefault="00194F92">
      <w:pPr>
        <w:rPr>
          <w:rFonts w:ascii="Times New Roman" w:hAnsi="Times New Roman" w:cs="Times New Roman"/>
        </w:rPr>
      </w:pPr>
    </w:p>
    <w:p w:rsidR="00F574AE" w:rsidRDefault="000B5968" w:rsidP="00147570">
      <w:pPr>
        <w:jc w:val="both"/>
        <w:rPr>
          <w:rFonts w:ascii="Times New Roman" w:hAnsi="Times New Roman" w:cs="Times New Roman"/>
        </w:rPr>
      </w:pPr>
      <w:r>
        <w:rPr>
          <w:rFonts w:ascii="Times New Roman" w:hAnsi="Times New Roman" w:cs="Times New Roman"/>
          <w:lang w:val="en"/>
        </w:rPr>
        <w:t>The plaintiff made a statement in person at the trial, and he presented the reasons for his flight in accordance with his statements made during the administrative procedure. He declared that he had lived in Ifite until 2007, and that he had to leave mainly because of his homosexuality. The police obtained a list specifying the homosexuals living in the village, and therefore</w:t>
      </w:r>
    </w:p>
    <w:p w:rsidR="00F574AE" w:rsidRDefault="00F574AE">
      <w:pPr>
        <w:rPr>
          <w:rFonts w:ascii="Times New Roman" w:hAnsi="Times New Roman" w:cs="Times New Roman"/>
        </w:rPr>
      </w:pPr>
      <w:r>
        <w:rPr>
          <w:rFonts w:ascii="Times New Roman" w:hAnsi="Times New Roman" w:cs="Times New Roman"/>
          <w:lang w:val="en"/>
        </w:rPr>
        <w:br w:type="page"/>
      </w:r>
    </w:p>
    <w:p w:rsidR="00F574AE" w:rsidRPr="00F574AE" w:rsidRDefault="000B5968">
      <w:pPr>
        <w:rPr>
          <w:rFonts w:ascii="Times New Roman" w:hAnsi="Times New Roman" w:cs="Times New Roman"/>
          <w:b/>
        </w:rPr>
      </w:pPr>
      <w:r>
        <w:rPr>
          <w:rFonts w:ascii="Times New Roman" w:hAnsi="Times New Roman" w:cs="Times New Roman"/>
          <w:b/>
          <w:bCs/>
          <w:lang w:val="en"/>
        </w:rPr>
        <w:lastRenderedPageBreak/>
        <w:t xml:space="preserve">Győr Administrative and Labour Court </w:t>
      </w:r>
    </w:p>
    <w:p w:rsidR="00BD0786" w:rsidRPr="00F574AE" w:rsidRDefault="000B5968">
      <w:pPr>
        <w:rPr>
          <w:rFonts w:ascii="Times New Roman" w:hAnsi="Times New Roman" w:cs="Times New Roman"/>
          <w:b/>
        </w:rPr>
      </w:pPr>
      <w:r>
        <w:rPr>
          <w:rFonts w:ascii="Times New Roman" w:hAnsi="Times New Roman" w:cs="Times New Roman"/>
          <w:b/>
          <w:bCs/>
          <w:lang w:val="en"/>
        </w:rPr>
        <w:t>13.K.27.101/2016/7.</w:t>
      </w:r>
    </w:p>
    <w:p w:rsidR="00F574AE" w:rsidRPr="00194F92" w:rsidRDefault="00F574AE">
      <w:pPr>
        <w:rPr>
          <w:rFonts w:ascii="Times New Roman" w:hAnsi="Times New Roman" w:cs="Times New Roman"/>
        </w:rPr>
      </w:pP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they were also looking for the plaintiff, by name. In his opinion, if the police had found him, he would have been sent to prison because homosexuality is an offence in Nigeria.</w:t>
      </w: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He related that he left Nigeria in 2008 and went to Syria and then to Turkey, and from there to Greece. He arrived in Hungary in 2013, through Macedonia and Serbia.</w:t>
      </w: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The plaintiff used to live with his grandmother. His mother died when he was very young. He emphasised that he never said that he had not known his father.</w:t>
      </w:r>
    </w:p>
    <w:p w:rsidR="00BD0786" w:rsidRPr="00194F92" w:rsidRDefault="00F61D5A" w:rsidP="00147570">
      <w:pPr>
        <w:jc w:val="both"/>
        <w:rPr>
          <w:rFonts w:ascii="Times New Roman" w:hAnsi="Times New Roman" w:cs="Times New Roman"/>
        </w:rPr>
      </w:pPr>
      <w:r>
        <w:rPr>
          <w:rFonts w:ascii="Times New Roman" w:hAnsi="Times New Roman" w:cs="Times New Roman"/>
          <w:lang w:val="en"/>
        </w:rPr>
        <w:t>He said that eating the forbidden yam would not have made him leave Nigeria in itself.</w:t>
      </w:r>
    </w:p>
    <w:p w:rsidR="00BD0786" w:rsidRDefault="000B5968" w:rsidP="00147570">
      <w:pPr>
        <w:jc w:val="both"/>
        <w:rPr>
          <w:rFonts w:ascii="Times New Roman" w:hAnsi="Times New Roman" w:cs="Times New Roman"/>
        </w:rPr>
      </w:pPr>
      <w:r>
        <w:rPr>
          <w:rFonts w:ascii="Times New Roman" w:hAnsi="Times New Roman" w:cs="Times New Roman"/>
          <w:lang w:val="en"/>
        </w:rPr>
        <w:t>In Greece, a woman helped him to obtain the documents, but they did not marry because she found out about the plaintiff’s homosexuality.</w:t>
      </w:r>
    </w:p>
    <w:p w:rsidR="00F574AE" w:rsidRPr="00194F92" w:rsidRDefault="00F574AE" w:rsidP="00147570">
      <w:pPr>
        <w:jc w:val="both"/>
        <w:rPr>
          <w:rFonts w:ascii="Times New Roman" w:hAnsi="Times New Roman" w:cs="Times New Roman"/>
        </w:rPr>
      </w:pP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First of all, the court had to give its opinion on the plaintiff’s credibility. Based on the available documents, it can be established that the plaintiff made several statements during the procedure before the defendant. Communication with the plaintiff was supported by an English language interpreter. The plaintiff was consistent in giving an account of the route of his flight every time, and he always mentioned the same two reasons for his flight, namely eating the forbidden yam and his homosexuality and the related problems. In the opinion of the court the discrepancies in the plaintiff’s statements are only related to details of lesser importance, based on which it cannot be established without a doubt that the plaintiff is not credible. The inconsistencies detected by the defendant during its procedure have no effect on the merits of the case. The court found that the plaintiff was credible, and therefore the story of his flight must be examined on the merits.</w:t>
      </w:r>
    </w:p>
    <w:p w:rsidR="00BD0786" w:rsidRDefault="000B5968" w:rsidP="00147570">
      <w:pPr>
        <w:jc w:val="both"/>
        <w:rPr>
          <w:rFonts w:ascii="Times New Roman" w:hAnsi="Times New Roman" w:cs="Times New Roman"/>
        </w:rPr>
      </w:pPr>
      <w:r>
        <w:rPr>
          <w:rFonts w:ascii="Times New Roman" w:hAnsi="Times New Roman" w:cs="Times New Roman"/>
          <w:lang w:val="en"/>
        </w:rPr>
        <w:t>In connection with the issue of credibility, the court stresses that inconsistencies may also arise from language problems. The plaintiff does not speak English at the level of a native speaker, which means that misunderstandings may have been caused by his difficulties in understanding English.</w:t>
      </w:r>
    </w:p>
    <w:p w:rsidR="00F574AE" w:rsidRPr="00194F92" w:rsidRDefault="00F574AE" w:rsidP="00147570">
      <w:pPr>
        <w:jc w:val="both"/>
        <w:rPr>
          <w:rFonts w:ascii="Times New Roman" w:hAnsi="Times New Roman" w:cs="Times New Roman"/>
        </w:rPr>
      </w:pP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The court agrees with the plaintiff’s opinion that his sexual orientation cannot be examined, and it excluded the medical expert opinion made about the plaintiff’s homosexuality from the evidence for the following reasons.</w:t>
      </w:r>
    </w:p>
    <w:p w:rsidR="00BD0786" w:rsidRPr="00194F92" w:rsidRDefault="000B5968" w:rsidP="00147570">
      <w:pPr>
        <w:jc w:val="both"/>
        <w:rPr>
          <w:rFonts w:ascii="Times New Roman" w:hAnsi="Times New Roman" w:cs="Times New Roman"/>
        </w:rPr>
      </w:pPr>
      <w:r>
        <w:rPr>
          <w:rFonts w:ascii="Times New Roman" w:hAnsi="Times New Roman" w:cs="Times New Roman"/>
          <w:lang w:val="en"/>
        </w:rPr>
        <w:t>The plaintiff was right in referring to the judgments adopted by the Court of Justice of the European Union under numbers C-148/13, C-149/13 and C- 150/13, which provide as follows. It is contrary to Article 4 of Directive 2004/83 – construed in light of Article 7 of the Charter of Fundamental Rights of the European Union – to conduct any examination in which the competent national authorities perform detailed interviews regarding the sexual habits of the asylum seeker. Furthermore, it is also contrary to this Article if during such examinations the national authorities accept evidence demonstrating that the asylum-seeker concerned performs homosexual acts and also if the person concerned is subjected to “tests” to prove his homosexuality or provides video recordings of such acts.</w:t>
      </w:r>
    </w:p>
    <w:p w:rsidR="00F574AE" w:rsidRDefault="000B5968" w:rsidP="00147570">
      <w:pPr>
        <w:jc w:val="both"/>
        <w:rPr>
          <w:rFonts w:ascii="Times New Roman" w:hAnsi="Times New Roman" w:cs="Times New Roman"/>
        </w:rPr>
      </w:pPr>
      <w:r>
        <w:rPr>
          <w:rFonts w:ascii="Times New Roman" w:hAnsi="Times New Roman" w:cs="Times New Roman"/>
          <w:lang w:val="en"/>
        </w:rPr>
        <w:t>Article 4 of the Charter of Fundamental Rights provides that nobody shall be subjected to torture or to inhuman or degrading treatment or punishment. Pursuant to Article 7, everyone has the right to respect for his or her private and family life, home and communications.</w:t>
      </w:r>
    </w:p>
    <w:p w:rsidR="00F574AE" w:rsidRDefault="00F574AE">
      <w:pPr>
        <w:rPr>
          <w:rFonts w:ascii="Times New Roman" w:hAnsi="Times New Roman" w:cs="Times New Roman"/>
        </w:rPr>
      </w:pPr>
      <w:r>
        <w:rPr>
          <w:rFonts w:ascii="Times New Roman" w:hAnsi="Times New Roman" w:cs="Times New Roman"/>
          <w:lang w:val="en"/>
        </w:rPr>
        <w:br w:type="page"/>
      </w:r>
    </w:p>
    <w:p w:rsidR="00F574AE" w:rsidRPr="00101047" w:rsidRDefault="000B5968">
      <w:pPr>
        <w:rPr>
          <w:rFonts w:ascii="Times New Roman" w:hAnsi="Times New Roman" w:cs="Times New Roman"/>
          <w:b/>
        </w:rPr>
      </w:pPr>
      <w:r>
        <w:rPr>
          <w:rFonts w:ascii="Times New Roman" w:hAnsi="Times New Roman" w:cs="Times New Roman"/>
          <w:b/>
          <w:bCs/>
          <w:lang w:val="en"/>
        </w:rPr>
        <w:lastRenderedPageBreak/>
        <w:t xml:space="preserve">Győr Administrative and Labour Court </w:t>
      </w:r>
    </w:p>
    <w:p w:rsidR="00BD0786" w:rsidRPr="00101047" w:rsidRDefault="000B5968">
      <w:pPr>
        <w:rPr>
          <w:rFonts w:ascii="Times New Roman" w:hAnsi="Times New Roman" w:cs="Times New Roman"/>
          <w:b/>
        </w:rPr>
      </w:pPr>
      <w:r>
        <w:rPr>
          <w:rFonts w:ascii="Times New Roman" w:hAnsi="Times New Roman" w:cs="Times New Roman"/>
          <w:b/>
          <w:bCs/>
          <w:lang w:val="en"/>
        </w:rPr>
        <w:t>13.K.27.10J/2016/7.</w:t>
      </w:r>
    </w:p>
    <w:p w:rsidR="00F574AE" w:rsidRPr="00194F92" w:rsidRDefault="00F574AE">
      <w:pPr>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Considering that, in contrast with the defendant’s decision, the court established that the plaintiff is credible, the defendant’s decision adopted on the basis of the above reasons cannot be reviewed on the merits; as such, the court set aside the defendant’s decision and ordered the defendant to conduct a new procedure and adopt a new decision.</w:t>
      </w:r>
    </w:p>
    <w:p w:rsidR="00F574AE" w:rsidRPr="00194F92" w:rsidRDefault="00F574AE"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During the repeated procedure the defendant must pay special attention to finding out how homosexuals are viewed in Nigeria and what possible consequences the plaintiff’s homosexuality may entail. If it is necessary and justified, certain procedural acts must be repeated, during which the plaintiff’s procedural rights must be ensured. After the procedure repeated according to the above requirements, the defendant must make a new decision on the plaintiff’s claim.</w:t>
      </w:r>
    </w:p>
    <w:p w:rsidR="00F574AE" w:rsidRPr="00194F92" w:rsidRDefault="00F574AE"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Pursuant to section 34 of the Asylum Act, the costs of the present lawsuit are borne by the state.</w:t>
      </w:r>
    </w:p>
    <w:p w:rsidR="00F574AE" w:rsidRPr="00194F92" w:rsidRDefault="00F574AE"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According to Section 68(5) of the Asylum Act, no appeal shall lie against this judgment.</w:t>
      </w:r>
    </w:p>
    <w:p w:rsidR="00F574AE" w:rsidRPr="00194F92" w:rsidRDefault="00F574AE" w:rsidP="00147570">
      <w:pPr>
        <w:jc w:val="both"/>
        <w:rPr>
          <w:rFonts w:ascii="Times New Roman" w:hAnsi="Times New Roman" w:cs="Times New Roman"/>
        </w:rPr>
      </w:pPr>
    </w:p>
    <w:p w:rsidR="00BD0786" w:rsidRDefault="000B5968" w:rsidP="00147570">
      <w:pPr>
        <w:jc w:val="both"/>
        <w:rPr>
          <w:rFonts w:ascii="Times New Roman" w:hAnsi="Times New Roman" w:cs="Times New Roman"/>
        </w:rPr>
      </w:pPr>
      <w:r>
        <w:rPr>
          <w:rFonts w:ascii="Times New Roman" w:hAnsi="Times New Roman" w:cs="Times New Roman"/>
          <w:lang w:val="en"/>
        </w:rPr>
        <w:t>Győr, June 1 2016</w:t>
      </w:r>
    </w:p>
    <w:p w:rsidR="00F574AE" w:rsidRPr="00194F92" w:rsidRDefault="00F574AE">
      <w:pPr>
        <w:rPr>
          <w:rFonts w:ascii="Times New Roman" w:hAnsi="Times New Roman" w:cs="Times New Roman"/>
        </w:rPr>
      </w:pPr>
    </w:p>
    <w:p w:rsidR="00F61D5A" w:rsidRPr="00194F92" w:rsidRDefault="000B5968" w:rsidP="00F574AE">
      <w:pPr>
        <w:ind w:left="5812"/>
        <w:jc w:val="center"/>
        <w:rPr>
          <w:rFonts w:ascii="Times New Roman" w:hAnsi="Times New Roman" w:cs="Times New Roman"/>
        </w:rPr>
      </w:pPr>
      <w:r>
        <w:rPr>
          <w:rFonts w:ascii="Times New Roman" w:hAnsi="Times New Roman" w:cs="Times New Roman"/>
          <w:lang w:val="en"/>
        </w:rPr>
        <w:t>Signed by dr. László Gottlieb</w:t>
      </w:r>
    </w:p>
    <w:p w:rsidR="00BD0786" w:rsidRPr="00194F92" w:rsidRDefault="000B5968" w:rsidP="00F574AE">
      <w:pPr>
        <w:ind w:left="5812"/>
        <w:jc w:val="center"/>
        <w:rPr>
          <w:rFonts w:ascii="Times New Roman" w:hAnsi="Times New Roman" w:cs="Times New Roman"/>
        </w:rPr>
      </w:pPr>
      <w:r>
        <w:rPr>
          <w:rFonts w:ascii="Times New Roman" w:hAnsi="Times New Roman" w:cs="Times New Roman"/>
          <w:lang w:val="en"/>
        </w:rPr>
        <w:t>judge</w:t>
      </w:r>
    </w:p>
    <w:p w:rsidR="00F61D5A" w:rsidRPr="00194F92" w:rsidRDefault="00F574AE" w:rsidP="00F61D5A">
      <w:pPr>
        <w:rPr>
          <w:rFonts w:ascii="Times New Roman" w:hAnsi="Times New Roman" w:cs="Times New Roman"/>
        </w:rPr>
      </w:pPr>
      <w:r>
        <w:rPr>
          <w:rFonts w:ascii="Times New Roman" w:hAnsi="Times New Roman" w:cs="Times New Roman"/>
          <w:lang w:val="en"/>
        </w:rPr>
        <w:t>[Stamp: In witness whereof: issuer]</w:t>
      </w:r>
    </w:p>
    <w:p w:rsidR="00F61D5A" w:rsidRPr="00194F92" w:rsidRDefault="00F61D5A" w:rsidP="00F61D5A">
      <w:pPr>
        <w:rPr>
          <w:rFonts w:ascii="Times New Roman" w:hAnsi="Times New Roman" w:cs="Times New Roman"/>
        </w:rPr>
      </w:pPr>
      <w:r>
        <w:rPr>
          <w:rFonts w:ascii="Times New Roman" w:hAnsi="Times New Roman" w:cs="Times New Roman"/>
          <w:lang w:val="en"/>
        </w:rPr>
        <w:t>[Győr Administrative and Labour Court]</w:t>
      </w:r>
    </w:p>
    <w:sectPr w:rsidR="00F61D5A" w:rsidRPr="00194F92" w:rsidSect="00194F92">
      <w:footerReference w:type="even" r:id="rId8"/>
      <w:footerReference w:type="default" r:id="rId9"/>
      <w:type w:val="continuous"/>
      <w:pgSz w:w="11909" w:h="16840"/>
      <w:pgMar w:top="1430" w:right="1440" w:bottom="1430" w:left="144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EC" w:rsidRDefault="00D83AEC">
      <w:r>
        <w:separator/>
      </w:r>
    </w:p>
  </w:endnote>
  <w:endnote w:type="continuationSeparator" w:id="0">
    <w:p w:rsidR="00D83AEC" w:rsidRDefault="00D8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612389"/>
      <w:docPartObj>
        <w:docPartGallery w:val="Page Numbers (Bottom of Page)"/>
        <w:docPartUnique/>
      </w:docPartObj>
    </w:sdtPr>
    <w:sdtEndPr/>
    <w:sdtContent>
      <w:p w:rsidR="00194F92" w:rsidRDefault="00194F92">
        <w:pPr>
          <w:pStyle w:val="Footer"/>
          <w:jc w:val="center"/>
        </w:pPr>
        <w:r>
          <w:rPr>
            <w:lang w:val="en"/>
          </w:rPr>
          <w:fldChar w:fldCharType="begin"/>
        </w:r>
        <w:r>
          <w:rPr>
            <w:lang w:val="en"/>
          </w:rPr>
          <w:instrText>PAGE   \* MERGEFORMAT</w:instrText>
        </w:r>
        <w:r>
          <w:rPr>
            <w:lang w:val="en"/>
          </w:rPr>
          <w:fldChar w:fldCharType="separate"/>
        </w:r>
        <w:r>
          <w:rPr>
            <w:noProof/>
            <w:lang w:val="en"/>
          </w:rPr>
          <w:t>6</w:t>
        </w:r>
        <w:r>
          <w:rPr>
            <w:lang w:val="en"/>
          </w:rPr>
          <w:fldChar w:fldCharType="end"/>
        </w:r>
      </w:p>
    </w:sdtContent>
  </w:sdt>
  <w:p w:rsidR="00194F92" w:rsidRDefault="00194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607319"/>
      <w:docPartObj>
        <w:docPartGallery w:val="Page Numbers (Bottom of Page)"/>
        <w:docPartUnique/>
      </w:docPartObj>
    </w:sdtPr>
    <w:sdtEndPr/>
    <w:sdtContent>
      <w:p w:rsidR="00194F92" w:rsidRDefault="00194F92">
        <w:pPr>
          <w:pStyle w:val="Footer"/>
          <w:jc w:val="center"/>
        </w:pPr>
        <w:r>
          <w:rPr>
            <w:lang w:val="en"/>
          </w:rPr>
          <w:fldChar w:fldCharType="begin"/>
        </w:r>
        <w:r>
          <w:rPr>
            <w:lang w:val="en"/>
          </w:rPr>
          <w:instrText>PAGE   \* MERGEFORMAT</w:instrText>
        </w:r>
        <w:r>
          <w:rPr>
            <w:lang w:val="en"/>
          </w:rPr>
          <w:fldChar w:fldCharType="separate"/>
        </w:r>
        <w:r w:rsidR="00983A59">
          <w:rPr>
            <w:noProof/>
            <w:lang w:val="en"/>
          </w:rPr>
          <w:t>7</w:t>
        </w:r>
        <w:r>
          <w:rPr>
            <w:lang w:val="en"/>
          </w:rPr>
          <w:fldChar w:fldCharType="end"/>
        </w:r>
      </w:p>
    </w:sdtContent>
  </w:sdt>
  <w:p w:rsidR="00194F92" w:rsidRDefault="00194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EC" w:rsidRDefault="00D83AEC"/>
  </w:footnote>
  <w:footnote w:type="continuationSeparator" w:id="0">
    <w:p w:rsidR="00D83AEC" w:rsidRDefault="00D83A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86"/>
    <w:rsid w:val="000B5968"/>
    <w:rsid w:val="00101047"/>
    <w:rsid w:val="00147570"/>
    <w:rsid w:val="00194F92"/>
    <w:rsid w:val="00524324"/>
    <w:rsid w:val="00983A59"/>
    <w:rsid w:val="00BD0786"/>
    <w:rsid w:val="00D83AEC"/>
    <w:rsid w:val="00F574AE"/>
    <w:rsid w:val="00F61D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hu-HU" w:eastAsia="hu-HU" w:bidi="hu-H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194F92"/>
    <w:pPr>
      <w:tabs>
        <w:tab w:val="center" w:pos="4536"/>
        <w:tab w:val="right" w:pos="9072"/>
      </w:tabs>
    </w:pPr>
  </w:style>
  <w:style w:type="character" w:customStyle="1" w:styleId="HeaderChar">
    <w:name w:val="Header Char"/>
    <w:basedOn w:val="DefaultParagraphFont"/>
    <w:link w:val="Header"/>
    <w:uiPriority w:val="99"/>
    <w:rsid w:val="00194F92"/>
    <w:rPr>
      <w:color w:val="000000"/>
    </w:rPr>
  </w:style>
  <w:style w:type="paragraph" w:styleId="Footer">
    <w:name w:val="footer"/>
    <w:basedOn w:val="Normal"/>
    <w:link w:val="FooterChar"/>
    <w:uiPriority w:val="99"/>
    <w:unhideWhenUsed/>
    <w:rsid w:val="00194F92"/>
    <w:pPr>
      <w:tabs>
        <w:tab w:val="center" w:pos="4536"/>
        <w:tab w:val="right" w:pos="9072"/>
      </w:tabs>
    </w:pPr>
  </w:style>
  <w:style w:type="character" w:customStyle="1" w:styleId="FooterChar">
    <w:name w:val="Footer Char"/>
    <w:basedOn w:val="DefaultParagraphFont"/>
    <w:link w:val="Footer"/>
    <w:uiPriority w:val="99"/>
    <w:rsid w:val="00194F92"/>
    <w:rPr>
      <w:color w:val="000000"/>
    </w:rPr>
  </w:style>
  <w:style w:type="paragraph" w:styleId="BalloonText">
    <w:name w:val="Balloon Text"/>
    <w:basedOn w:val="Normal"/>
    <w:link w:val="BalloonTextChar"/>
    <w:uiPriority w:val="99"/>
    <w:semiHidden/>
    <w:unhideWhenUsed/>
    <w:rsid w:val="00983A59"/>
    <w:rPr>
      <w:rFonts w:ascii="Tahoma" w:hAnsi="Tahoma" w:cs="Tahoma"/>
      <w:sz w:val="16"/>
      <w:szCs w:val="16"/>
    </w:rPr>
  </w:style>
  <w:style w:type="character" w:customStyle="1" w:styleId="BalloonTextChar">
    <w:name w:val="Balloon Text Char"/>
    <w:basedOn w:val="DefaultParagraphFont"/>
    <w:link w:val="BalloonText"/>
    <w:uiPriority w:val="99"/>
    <w:semiHidden/>
    <w:rsid w:val="00983A5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hu-HU" w:eastAsia="hu-HU" w:bidi="hu-H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194F92"/>
    <w:pPr>
      <w:tabs>
        <w:tab w:val="center" w:pos="4536"/>
        <w:tab w:val="right" w:pos="9072"/>
      </w:tabs>
    </w:pPr>
  </w:style>
  <w:style w:type="character" w:customStyle="1" w:styleId="HeaderChar">
    <w:name w:val="Header Char"/>
    <w:basedOn w:val="DefaultParagraphFont"/>
    <w:link w:val="Header"/>
    <w:uiPriority w:val="99"/>
    <w:rsid w:val="00194F92"/>
    <w:rPr>
      <w:color w:val="000000"/>
    </w:rPr>
  </w:style>
  <w:style w:type="paragraph" w:styleId="Footer">
    <w:name w:val="footer"/>
    <w:basedOn w:val="Normal"/>
    <w:link w:val="FooterChar"/>
    <w:uiPriority w:val="99"/>
    <w:unhideWhenUsed/>
    <w:rsid w:val="00194F92"/>
    <w:pPr>
      <w:tabs>
        <w:tab w:val="center" w:pos="4536"/>
        <w:tab w:val="right" w:pos="9072"/>
      </w:tabs>
    </w:pPr>
  </w:style>
  <w:style w:type="character" w:customStyle="1" w:styleId="FooterChar">
    <w:name w:val="Footer Char"/>
    <w:basedOn w:val="DefaultParagraphFont"/>
    <w:link w:val="Footer"/>
    <w:uiPriority w:val="99"/>
    <w:rsid w:val="00194F92"/>
    <w:rPr>
      <w:color w:val="000000"/>
    </w:rPr>
  </w:style>
  <w:style w:type="paragraph" w:styleId="BalloonText">
    <w:name w:val="Balloon Text"/>
    <w:basedOn w:val="Normal"/>
    <w:link w:val="BalloonTextChar"/>
    <w:uiPriority w:val="99"/>
    <w:semiHidden/>
    <w:unhideWhenUsed/>
    <w:rsid w:val="00983A59"/>
    <w:rPr>
      <w:rFonts w:ascii="Tahoma" w:hAnsi="Tahoma" w:cs="Tahoma"/>
      <w:sz w:val="16"/>
      <w:szCs w:val="16"/>
    </w:rPr>
  </w:style>
  <w:style w:type="character" w:customStyle="1" w:styleId="BalloonTextChar">
    <w:name w:val="Balloon Text Char"/>
    <w:basedOn w:val="DefaultParagraphFont"/>
    <w:link w:val="BalloonText"/>
    <w:uiPriority w:val="99"/>
    <w:semiHidden/>
    <w:rsid w:val="00983A5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2848</Words>
  <Characters>16237</Characters>
  <Application>Microsoft Office Word</Application>
  <DocSecurity>0</DocSecurity>
  <Lines>135</Lines>
  <Paragraphs>38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Péter Zoltán</dc:creator>
  <cp:lastModifiedBy>Amanda Taylor</cp:lastModifiedBy>
  <cp:revision>2</cp:revision>
  <dcterms:created xsi:type="dcterms:W3CDTF">2016-10-11T14:38:00Z</dcterms:created>
  <dcterms:modified xsi:type="dcterms:W3CDTF">2016-10-11T14:38:00Z</dcterms:modified>
</cp:coreProperties>
</file>