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8"/>
        <w:gridCol w:w="2365"/>
        <w:gridCol w:w="2976"/>
        <w:gridCol w:w="2977"/>
      </w:tblGrid>
      <w:tr w:rsidR="00B56429" w:rsidRPr="00F26BE2">
        <w:tc>
          <w:tcPr>
            <w:tcW w:w="34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/>
                <w:bCs/>
              </w:rPr>
            </w:pPr>
            <w:bookmarkStart w:id="0" w:name="_GoBack"/>
            <w:bookmarkEnd w:id="0"/>
            <w:r w:rsidRPr="00F26BE2">
              <w:rPr>
                <w:rFonts w:cs="Calibri"/>
                <w:b/>
                <w:bCs/>
              </w:rPr>
              <w:t>KEY WORDS</w:t>
            </w:r>
          </w:p>
        </w:tc>
        <w:tc>
          <w:tcPr>
            <w:tcW w:w="595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30ADC" w:rsidRPr="00076D44" w:rsidRDefault="00330ADC" w:rsidP="00CB63E7">
            <w:pPr>
              <w:spacing w:after="0" w:line="240" w:lineRule="auto"/>
              <w:rPr>
                <w:rFonts w:cs="Calibri"/>
                <w:b/>
              </w:rPr>
            </w:pPr>
            <w:r w:rsidRPr="00076D44">
              <w:rPr>
                <w:rFonts w:cs="Calibri"/>
                <w:b/>
              </w:rPr>
              <w:t xml:space="preserve">Vulnerable persons </w:t>
            </w:r>
          </w:p>
          <w:p w:rsidR="00B56429" w:rsidRPr="00076D44" w:rsidRDefault="001B30CA" w:rsidP="00CB63E7">
            <w:pPr>
              <w:spacing w:after="0" w:line="240" w:lineRule="auto"/>
              <w:rPr>
                <w:rFonts w:cs="Calibri"/>
                <w:b/>
              </w:rPr>
            </w:pPr>
            <w:r w:rsidRPr="00076D44">
              <w:rPr>
                <w:rFonts w:cs="Calibri"/>
                <w:b/>
              </w:rPr>
              <w:t>unaccompanied m</w:t>
            </w:r>
            <w:r w:rsidR="00530DAF" w:rsidRPr="00076D44">
              <w:rPr>
                <w:rFonts w:cs="Calibri"/>
                <w:b/>
              </w:rPr>
              <w:t>inors</w:t>
            </w:r>
          </w:p>
          <w:p w:rsidR="001B30CA" w:rsidRPr="00076D44" w:rsidRDefault="001B30CA" w:rsidP="00CB63E7">
            <w:pPr>
              <w:spacing w:after="0" w:line="240" w:lineRule="auto"/>
              <w:rPr>
                <w:rFonts w:cs="Calibri"/>
                <w:b/>
              </w:rPr>
            </w:pPr>
            <w:r w:rsidRPr="00076D44">
              <w:rPr>
                <w:rFonts w:cs="Calibri"/>
                <w:b/>
              </w:rPr>
              <w:t>Eurodac</w:t>
            </w:r>
          </w:p>
        </w:tc>
      </w:tr>
      <w:tr w:rsidR="00B56429" w:rsidRPr="00F26BE2">
        <w:tc>
          <w:tcPr>
            <w:tcW w:w="3403" w:type="dxa"/>
            <w:gridSpan w:val="2"/>
            <w:tcBorders>
              <w:top w:val="single" w:sz="12" w:space="0" w:color="000000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Countr</w:t>
            </w:r>
            <w:r>
              <w:rPr>
                <w:rFonts w:cs="Calibri"/>
              </w:rPr>
              <w:t>y of Appeal</w:t>
            </w:r>
          </w:p>
        </w:tc>
        <w:tc>
          <w:tcPr>
            <w:tcW w:w="5953" w:type="dxa"/>
            <w:gridSpan w:val="2"/>
            <w:tcBorders>
              <w:top w:val="single" w:sz="12" w:space="0" w:color="000000"/>
            </w:tcBorders>
          </w:tcPr>
          <w:p w:rsidR="00530DAF" w:rsidRPr="00076D44" w:rsidRDefault="00530DAF" w:rsidP="00530DAF">
            <w:pPr>
              <w:spacing w:after="0" w:line="240" w:lineRule="auto"/>
              <w:rPr>
                <w:rFonts w:cs="Calibri"/>
                <w:b/>
              </w:rPr>
            </w:pPr>
            <w:r w:rsidRPr="00076D44">
              <w:rPr>
                <w:rFonts w:cs="Calibri"/>
                <w:b/>
              </w:rPr>
              <w:t>Austria</w:t>
            </w:r>
          </w:p>
        </w:tc>
      </w:tr>
      <w:tr w:rsidR="00B56429" w:rsidRPr="00F22DDD">
        <w:tc>
          <w:tcPr>
            <w:tcW w:w="3403" w:type="dxa"/>
            <w:gridSpan w:val="2"/>
            <w:tcBorders>
              <w:top w:val="single" w:sz="12" w:space="0" w:color="000000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Responsible Member State under Dublin Criteria</w:t>
            </w:r>
          </w:p>
        </w:tc>
        <w:tc>
          <w:tcPr>
            <w:tcW w:w="5953" w:type="dxa"/>
            <w:gridSpan w:val="2"/>
            <w:tcBorders>
              <w:top w:val="single" w:sz="12" w:space="0" w:color="000000"/>
            </w:tcBorders>
          </w:tcPr>
          <w:p w:rsidR="00B56429" w:rsidRPr="00076D44" w:rsidRDefault="00530DAF" w:rsidP="00CB63E7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076D44">
              <w:rPr>
                <w:rFonts w:cs="Calibri"/>
                <w:b/>
                <w:lang w:val="en-US"/>
              </w:rPr>
              <w:t>Italy</w:t>
            </w:r>
          </w:p>
        </w:tc>
      </w:tr>
      <w:tr w:rsidR="00B56429" w:rsidRPr="00F26BE2">
        <w:tc>
          <w:tcPr>
            <w:tcW w:w="3403" w:type="dxa"/>
            <w:gridSpan w:val="2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Case name</w:t>
            </w:r>
          </w:p>
        </w:tc>
        <w:tc>
          <w:tcPr>
            <w:tcW w:w="5953" w:type="dxa"/>
            <w:gridSpan w:val="2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B56429" w:rsidRPr="00F22DDD">
        <w:tc>
          <w:tcPr>
            <w:tcW w:w="3403" w:type="dxa"/>
            <w:gridSpan w:val="2"/>
          </w:tcPr>
          <w:p w:rsidR="00B56429" w:rsidRPr="00AF4723" w:rsidRDefault="00B56429" w:rsidP="00CB63E7">
            <w:pPr>
              <w:spacing w:after="0" w:line="240" w:lineRule="auto"/>
              <w:rPr>
                <w:rFonts w:cs="Calibri"/>
                <w:lang w:val="en-GB"/>
              </w:rPr>
            </w:pPr>
            <w:r w:rsidRPr="00DE778F">
              <w:rPr>
                <w:rFonts w:cs="Calibri"/>
                <w:lang w:val="en-GB"/>
              </w:rPr>
              <w:t xml:space="preserve">Appeal body name i.e. </w:t>
            </w:r>
            <w:r>
              <w:rPr>
                <w:rFonts w:cs="Calibri"/>
                <w:lang w:val="en-GB"/>
              </w:rPr>
              <w:t>Court/Tribunal/Appeals Board</w:t>
            </w:r>
          </w:p>
        </w:tc>
        <w:tc>
          <w:tcPr>
            <w:tcW w:w="5953" w:type="dxa"/>
            <w:gridSpan w:val="2"/>
          </w:tcPr>
          <w:p w:rsidR="00B56429" w:rsidRPr="00076D44" w:rsidRDefault="00530DAF" w:rsidP="00CB63E7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Constitutional Court</w:t>
            </w:r>
          </w:p>
        </w:tc>
      </w:tr>
      <w:tr w:rsidR="00B56429" w:rsidRPr="00AF4723">
        <w:tc>
          <w:tcPr>
            <w:tcW w:w="3403" w:type="dxa"/>
            <w:gridSpan w:val="2"/>
          </w:tcPr>
          <w:p w:rsidR="00B56429" w:rsidRPr="00AF4723" w:rsidRDefault="00B56429" w:rsidP="00CB63E7">
            <w:pPr>
              <w:spacing w:after="0" w:line="240" w:lineRule="auto"/>
              <w:rPr>
                <w:rFonts w:cs="Calibri"/>
                <w:lang w:val="en-GB"/>
              </w:rPr>
            </w:pPr>
            <w:r w:rsidRPr="00DE778F">
              <w:rPr>
                <w:rFonts w:cs="Calibri"/>
                <w:lang w:val="en-GB"/>
              </w:rPr>
              <w:t>Decision number/Neutral citation</w:t>
            </w:r>
          </w:p>
        </w:tc>
        <w:tc>
          <w:tcPr>
            <w:tcW w:w="5953" w:type="dxa"/>
            <w:gridSpan w:val="2"/>
          </w:tcPr>
          <w:p w:rsidR="00330ADC" w:rsidRPr="00076D44" w:rsidRDefault="004B5D4F" w:rsidP="00330ADC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076D44">
              <w:rPr>
                <w:rFonts w:cs="Calibri"/>
                <w:b/>
                <w:lang w:val="en-GB"/>
              </w:rPr>
              <w:t>U1558/11</w:t>
            </w:r>
          </w:p>
          <w:p w:rsidR="00B56429" w:rsidRPr="00076D44" w:rsidRDefault="00E33336" w:rsidP="00330ADC">
            <w:pPr>
              <w:spacing w:after="0" w:line="240" w:lineRule="auto"/>
              <w:rPr>
                <w:rFonts w:cs="Calibri"/>
                <w:b/>
                <w:lang w:val="en-GB"/>
              </w:rPr>
            </w:pPr>
            <w:r w:rsidRPr="00076D44">
              <w:rPr>
                <w:rFonts w:cs="Calibri"/>
                <w:b/>
                <w:lang w:val="en-GB"/>
              </w:rPr>
              <w:t>http://www.ris.bka.gv.at/Dokument.wxe?Abfrage=Vfgh&amp;</w:t>
            </w:r>
            <w:r w:rsidRPr="00076D44">
              <w:rPr>
                <w:rFonts w:cs="Calibri"/>
                <w:b/>
                <w:lang w:val="en-GB"/>
              </w:rPr>
              <w:br/>
            </w:r>
            <w:proofErr w:type="spellStart"/>
            <w:r w:rsidRPr="00076D44">
              <w:rPr>
                <w:rFonts w:cs="Calibri"/>
                <w:b/>
                <w:lang w:val="en-GB"/>
              </w:rPr>
              <w:t>Dokumentnummer</w:t>
            </w:r>
            <w:proofErr w:type="spellEnd"/>
            <w:r w:rsidRPr="00076D44">
              <w:rPr>
                <w:rFonts w:cs="Calibri"/>
                <w:b/>
                <w:lang w:val="en-GB"/>
              </w:rPr>
              <w:t>=JFT_09879693_11U01558_00</w:t>
            </w:r>
          </w:p>
        </w:tc>
      </w:tr>
      <w:tr w:rsidR="00B56429" w:rsidRPr="00F22DDD">
        <w:tc>
          <w:tcPr>
            <w:tcW w:w="3403" w:type="dxa"/>
            <w:gridSpan w:val="2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lang w:val="en-US"/>
              </w:rPr>
            </w:pPr>
            <w:r w:rsidRPr="00F26BE2">
              <w:rPr>
                <w:rFonts w:cs="Calibri"/>
                <w:lang w:val="en-US"/>
              </w:rPr>
              <w:t>Date decision delivered or promulgated: Date of determination</w:t>
            </w:r>
          </w:p>
        </w:tc>
        <w:tc>
          <w:tcPr>
            <w:tcW w:w="5953" w:type="dxa"/>
            <w:gridSpan w:val="2"/>
          </w:tcPr>
          <w:p w:rsidR="00B56429" w:rsidRPr="00076D44" w:rsidRDefault="004B5D4F" w:rsidP="00CB63E7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076D44">
              <w:rPr>
                <w:rFonts w:cs="Calibri"/>
                <w:b/>
                <w:lang w:val="en-US"/>
              </w:rPr>
              <w:t>07.03.2012</w:t>
            </w:r>
          </w:p>
        </w:tc>
      </w:tr>
      <w:tr w:rsidR="00B56429" w:rsidRPr="00F26BE2">
        <w:tc>
          <w:tcPr>
            <w:tcW w:w="3403" w:type="dxa"/>
            <w:gridSpan w:val="2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Country of applicant/Claimant</w:t>
            </w:r>
          </w:p>
        </w:tc>
        <w:tc>
          <w:tcPr>
            <w:tcW w:w="5953" w:type="dxa"/>
            <w:gridSpan w:val="2"/>
          </w:tcPr>
          <w:p w:rsidR="00B56429" w:rsidRPr="00076D44" w:rsidRDefault="004B5D4F" w:rsidP="00CB63E7">
            <w:pPr>
              <w:spacing w:after="0" w:line="240" w:lineRule="auto"/>
              <w:rPr>
                <w:rFonts w:cs="Calibri"/>
                <w:bCs/>
              </w:rPr>
            </w:pPr>
            <w:r w:rsidRPr="00076D44">
              <w:rPr>
                <w:rFonts w:cs="Calibri"/>
                <w:bCs/>
              </w:rPr>
              <w:t>Afghanistan</w:t>
            </w:r>
          </w:p>
        </w:tc>
      </w:tr>
      <w:tr w:rsidR="00B56429" w:rsidRPr="00F26BE2">
        <w:tc>
          <w:tcPr>
            <w:tcW w:w="3403" w:type="dxa"/>
            <w:gridSpan w:val="2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Summary of the case</w:t>
            </w:r>
          </w:p>
        </w:tc>
        <w:tc>
          <w:tcPr>
            <w:tcW w:w="5953" w:type="dxa"/>
            <w:gridSpan w:val="2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lang w:val="nl-NL"/>
              </w:rPr>
            </w:pPr>
          </w:p>
        </w:tc>
      </w:tr>
      <w:tr w:rsidR="00B56429" w:rsidRPr="00F26BE2">
        <w:trPr>
          <w:trHeight w:val="385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i/>
              </w:rPr>
            </w:pPr>
            <w:r w:rsidRPr="00F26BE2">
              <w:rPr>
                <w:rFonts w:cs="Calibri"/>
                <w:i/>
              </w:rPr>
              <w:t xml:space="preserve">Facts </w:t>
            </w:r>
            <w:r>
              <w:rPr>
                <w:rFonts w:cs="Calibri"/>
                <w:i/>
              </w:rPr>
              <w:t>(brief overview)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3385" w:rsidRPr="00076D44" w:rsidRDefault="004B5D4F" w:rsidP="006A3385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The applicant entered the European Union via Italy</w:t>
            </w:r>
            <w:r w:rsidR="006A3385" w:rsidRPr="00076D44">
              <w:rPr>
                <w:rFonts w:cs="Calibri"/>
                <w:b/>
                <w:lang w:val="nl-NL"/>
              </w:rPr>
              <w:t xml:space="preserve"> and afterwards travelled to Austria, where </w:t>
            </w:r>
            <w:r w:rsidRPr="00076D44">
              <w:rPr>
                <w:rFonts w:cs="Calibri"/>
                <w:b/>
                <w:lang w:val="nl-NL"/>
              </w:rPr>
              <w:t>applied for asylum and stated that he was 17 years old</w:t>
            </w:r>
            <w:r w:rsidR="004C3E85" w:rsidRPr="00076D44">
              <w:rPr>
                <w:rFonts w:cs="Calibri"/>
                <w:b/>
                <w:lang w:val="nl-NL"/>
              </w:rPr>
              <w:t>.</w:t>
            </w:r>
            <w:r w:rsidR="005419CA" w:rsidRPr="00076D44">
              <w:rPr>
                <w:rFonts w:cs="Calibri"/>
                <w:b/>
                <w:lang w:val="nl-NL"/>
              </w:rPr>
              <w:t xml:space="preserve"> The Austrian Federal Asylum Office ordered a multifactoral age diagnosis</w:t>
            </w:r>
            <w:r w:rsidR="006A3385" w:rsidRPr="00076D44">
              <w:rPr>
                <w:rFonts w:cs="Calibri"/>
                <w:b/>
                <w:lang w:val="nl-NL"/>
              </w:rPr>
              <w:t>, the result of which was, that a minimum age of 17 could not be excluded.</w:t>
            </w:r>
          </w:p>
          <w:p w:rsidR="00330ADC" w:rsidRPr="00076D44" w:rsidRDefault="006A3385" w:rsidP="006A3385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 xml:space="preserve">Due to a Eurodac hit an </w:t>
            </w:r>
            <w:r w:rsidR="00330ADC" w:rsidRPr="00076D44">
              <w:rPr>
                <w:rFonts w:cs="Calibri"/>
                <w:b/>
                <w:lang w:val="nl-NL"/>
              </w:rPr>
              <w:t>information request</w:t>
            </w:r>
            <w:r w:rsidRPr="00076D44">
              <w:rPr>
                <w:rFonts w:cs="Calibri"/>
                <w:b/>
                <w:lang w:val="nl-NL"/>
              </w:rPr>
              <w:t xml:space="preserve"> was sent</w:t>
            </w:r>
            <w:r w:rsidR="00330ADC" w:rsidRPr="00076D44">
              <w:rPr>
                <w:rFonts w:cs="Calibri"/>
                <w:b/>
                <w:lang w:val="nl-NL"/>
              </w:rPr>
              <w:t xml:space="preserve"> </w:t>
            </w:r>
            <w:r w:rsidRPr="00076D44">
              <w:rPr>
                <w:rFonts w:cs="Calibri"/>
                <w:b/>
                <w:lang w:val="nl-NL"/>
              </w:rPr>
              <w:t>to the Italian authorities</w:t>
            </w:r>
            <w:r w:rsidR="003B7C6B" w:rsidRPr="00076D44">
              <w:rPr>
                <w:rFonts w:cs="Calibri"/>
                <w:b/>
                <w:lang w:val="nl-NL"/>
              </w:rPr>
              <w:t xml:space="preserve">. </w:t>
            </w:r>
            <w:r w:rsidRPr="00076D44">
              <w:rPr>
                <w:rFonts w:cs="Calibri"/>
                <w:b/>
                <w:lang w:val="nl-NL"/>
              </w:rPr>
              <w:t>They answered that the applicant had</w:t>
            </w:r>
            <w:r w:rsidR="003B7C6B" w:rsidRPr="00076D44">
              <w:rPr>
                <w:rFonts w:cs="Calibri"/>
                <w:b/>
                <w:lang w:val="nl-NL"/>
              </w:rPr>
              <w:t xml:space="preserve"> been submitted to identification and was registered with the date of birth 01/01/1992. </w:t>
            </w:r>
            <w:r w:rsidR="00330ADC" w:rsidRPr="00076D44">
              <w:rPr>
                <w:rFonts w:cs="Calibri"/>
                <w:b/>
                <w:lang w:val="nl-NL"/>
              </w:rPr>
              <w:t xml:space="preserve">As a consequence of that information </w:t>
            </w:r>
            <w:r w:rsidR="003B7C6B" w:rsidRPr="00076D44">
              <w:rPr>
                <w:rFonts w:cs="Calibri"/>
                <w:b/>
                <w:lang w:val="nl-NL"/>
              </w:rPr>
              <w:t>the Austrian Federal Asylum Office</w:t>
            </w:r>
            <w:r w:rsidR="00E56D0D" w:rsidRPr="00076D44">
              <w:rPr>
                <w:rFonts w:cs="Calibri"/>
                <w:b/>
                <w:lang w:val="nl-NL"/>
              </w:rPr>
              <w:t xml:space="preserve"> sent a request to Italy to take charge of the applicant. Italy </w:t>
            </w:r>
            <w:r w:rsidR="00330ADC" w:rsidRPr="00076D44">
              <w:rPr>
                <w:rFonts w:cs="Calibri"/>
                <w:b/>
                <w:lang w:val="nl-NL"/>
              </w:rPr>
              <w:t>did not</w:t>
            </w:r>
            <w:r w:rsidR="00E56D0D" w:rsidRPr="00076D44">
              <w:rPr>
                <w:rFonts w:cs="Calibri"/>
                <w:b/>
                <w:lang w:val="nl-NL"/>
              </w:rPr>
              <w:t xml:space="preserve"> respond within time. </w:t>
            </w:r>
          </w:p>
          <w:p w:rsidR="00330ADC" w:rsidRPr="00076D44" w:rsidRDefault="0094531B" w:rsidP="00721D5D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The Austrian Federal Asylum Office rejected the application</w:t>
            </w:r>
            <w:r w:rsidR="00330ADC" w:rsidRPr="00076D44">
              <w:rPr>
                <w:rFonts w:cs="Calibri"/>
                <w:b/>
                <w:lang w:val="nl-NL"/>
              </w:rPr>
              <w:t xml:space="preserve"> for Dublin reasons</w:t>
            </w:r>
            <w:r w:rsidRPr="00076D44">
              <w:rPr>
                <w:rFonts w:cs="Calibri"/>
                <w:b/>
                <w:lang w:val="nl-NL"/>
              </w:rPr>
              <w:t xml:space="preserve"> and </w:t>
            </w:r>
            <w:r w:rsidR="00330ADC" w:rsidRPr="00076D44">
              <w:rPr>
                <w:rFonts w:cs="Calibri"/>
                <w:b/>
                <w:lang w:val="nl-NL"/>
              </w:rPr>
              <w:t>issued an expulsion order to Italy. A</w:t>
            </w:r>
            <w:r w:rsidRPr="00076D44">
              <w:rPr>
                <w:rFonts w:cs="Calibri"/>
                <w:b/>
                <w:lang w:val="nl-NL"/>
              </w:rPr>
              <w:t xml:space="preserve"> </w:t>
            </w:r>
            <w:r w:rsidR="00330ADC" w:rsidRPr="00076D44">
              <w:rPr>
                <w:rFonts w:cs="Calibri"/>
                <w:b/>
                <w:lang w:val="nl-NL"/>
              </w:rPr>
              <w:t>few days later</w:t>
            </w:r>
            <w:r w:rsidRPr="00076D44">
              <w:rPr>
                <w:rFonts w:cs="Calibri"/>
                <w:b/>
                <w:lang w:val="nl-NL"/>
              </w:rPr>
              <w:t xml:space="preserve"> the Magistrat Graz</w:t>
            </w:r>
            <w:r w:rsidR="00721D5D" w:rsidRPr="00076D44">
              <w:rPr>
                <w:rFonts w:cs="Calibri"/>
                <w:b/>
                <w:lang w:val="nl-NL"/>
              </w:rPr>
              <w:t>, as legal guardian, sent a copy</w:t>
            </w:r>
            <w:r w:rsidRPr="00076D44">
              <w:rPr>
                <w:rFonts w:cs="Calibri"/>
                <w:b/>
                <w:lang w:val="nl-NL"/>
              </w:rPr>
              <w:t xml:space="preserve"> of </w:t>
            </w:r>
            <w:r w:rsidR="00721D5D" w:rsidRPr="00076D44">
              <w:rPr>
                <w:rFonts w:cs="Calibri"/>
                <w:b/>
                <w:lang w:val="nl-NL"/>
              </w:rPr>
              <w:t xml:space="preserve">the applicant’s birth certificate – which confirms that he is a minor – </w:t>
            </w:r>
            <w:r w:rsidRPr="00076D44">
              <w:rPr>
                <w:rFonts w:cs="Calibri"/>
                <w:b/>
                <w:lang w:val="nl-NL"/>
              </w:rPr>
              <w:t>to the</w:t>
            </w:r>
            <w:r w:rsidR="00721D5D" w:rsidRPr="00076D44">
              <w:rPr>
                <w:rFonts w:cs="Calibri"/>
                <w:b/>
                <w:lang w:val="nl-NL"/>
              </w:rPr>
              <w:t xml:space="preserve"> Austrian Federal Asylum Office. </w:t>
            </w:r>
            <w:r w:rsidR="00E56D0D" w:rsidRPr="00076D44">
              <w:rPr>
                <w:rFonts w:cs="Calibri"/>
                <w:b/>
                <w:lang w:val="nl-NL"/>
              </w:rPr>
              <w:t xml:space="preserve">The Asylum Court </w:t>
            </w:r>
            <w:r w:rsidR="00F44C2F" w:rsidRPr="00076D44">
              <w:rPr>
                <w:rFonts w:cs="Calibri"/>
                <w:b/>
                <w:lang w:val="nl-NL"/>
              </w:rPr>
              <w:t xml:space="preserve">rejected the appeal and </w:t>
            </w:r>
            <w:r w:rsidR="00E56D0D" w:rsidRPr="00076D44">
              <w:rPr>
                <w:rFonts w:cs="Calibri"/>
                <w:b/>
                <w:lang w:val="nl-NL"/>
              </w:rPr>
              <w:t xml:space="preserve">agreed with </w:t>
            </w:r>
            <w:r w:rsidR="00F44C2F" w:rsidRPr="00076D44">
              <w:rPr>
                <w:rFonts w:cs="Calibri"/>
                <w:b/>
                <w:lang w:val="nl-NL"/>
              </w:rPr>
              <w:t xml:space="preserve">the </w:t>
            </w:r>
            <w:r w:rsidR="00E56D0D" w:rsidRPr="00076D44">
              <w:rPr>
                <w:rFonts w:cs="Calibri"/>
                <w:b/>
                <w:lang w:val="nl-NL"/>
              </w:rPr>
              <w:t>decision</w:t>
            </w:r>
            <w:r w:rsidR="004C3E85" w:rsidRPr="00076D44">
              <w:rPr>
                <w:rFonts w:cs="Calibri"/>
                <w:b/>
                <w:lang w:val="nl-NL"/>
              </w:rPr>
              <w:t xml:space="preserve"> of the Austrian Federal Asylum Office</w:t>
            </w:r>
            <w:r w:rsidR="00E56D0D" w:rsidRPr="00076D44">
              <w:rPr>
                <w:rFonts w:cs="Calibri"/>
                <w:b/>
                <w:lang w:val="nl-NL"/>
              </w:rPr>
              <w:t xml:space="preserve">. </w:t>
            </w:r>
          </w:p>
          <w:p w:rsidR="00B56429" w:rsidRPr="00076D44" w:rsidRDefault="00E56D0D" w:rsidP="00330ADC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The applicant appealed to the Constitutional Court.</w:t>
            </w:r>
          </w:p>
        </w:tc>
      </w:tr>
      <w:tr w:rsidR="00B56429" w:rsidRPr="00F26BE2">
        <w:trPr>
          <w:trHeight w:val="385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lang w:val="nl-NL"/>
              </w:rPr>
            </w:pPr>
            <w:r w:rsidRPr="00F26BE2">
              <w:rPr>
                <w:rFonts w:cs="Calibri"/>
                <w:b/>
                <w:lang w:val="nl-NL"/>
              </w:rPr>
              <w:t xml:space="preserve">        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7378F7">
            <w:pPr>
              <w:spacing w:after="0" w:line="240" w:lineRule="auto"/>
              <w:rPr>
                <w:rFonts w:cs="Calibri"/>
                <w:i/>
              </w:rPr>
            </w:pPr>
            <w:proofErr w:type="spellStart"/>
            <w:r w:rsidRPr="00F26BE2">
              <w:rPr>
                <w:rFonts w:cs="Calibri"/>
                <w:i/>
              </w:rPr>
              <w:t>Decision</w:t>
            </w:r>
            <w:proofErr w:type="spellEnd"/>
            <w:r w:rsidRPr="00F26BE2">
              <w:rPr>
                <w:rFonts w:cs="Calibri"/>
                <w:i/>
              </w:rPr>
              <w:t xml:space="preserve"> &amp; </w:t>
            </w:r>
            <w:proofErr w:type="spellStart"/>
            <w:r w:rsidRPr="00F26BE2">
              <w:rPr>
                <w:rFonts w:cs="Calibri"/>
                <w:i/>
              </w:rPr>
              <w:t>Reasoning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076D44" w:rsidRDefault="00F15FE9" w:rsidP="00CB63E7">
            <w:pPr>
              <w:spacing w:after="0" w:line="240" w:lineRule="auto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The Constitutional Court allowed the appeal.</w:t>
            </w:r>
          </w:p>
          <w:p w:rsidR="00587D16" w:rsidRPr="00076D44" w:rsidRDefault="00F15FE9" w:rsidP="00330ADC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It stated that the decision of the Asylum Court constitutes a violation of the right of equal treatment for aliens among each other by arbitrariness</w:t>
            </w:r>
            <w:r w:rsidR="00330ADC" w:rsidRPr="00076D44">
              <w:rPr>
                <w:rFonts w:cs="Calibri"/>
                <w:b/>
                <w:lang w:val="nl-NL"/>
              </w:rPr>
              <w:t>. Furthermore</w:t>
            </w:r>
            <w:r w:rsidR="003E12B2" w:rsidRPr="00076D44">
              <w:rPr>
                <w:rFonts w:cs="Calibri"/>
                <w:b/>
                <w:lang w:val="nl-NL"/>
              </w:rPr>
              <w:t xml:space="preserve"> it stated that the Asylum Court ignored the content of § 15 (1) Z</w:t>
            </w:r>
            <w:r w:rsidR="00330ADC" w:rsidRPr="00076D44">
              <w:rPr>
                <w:rFonts w:cs="Calibri"/>
                <w:b/>
                <w:lang w:val="nl-NL"/>
              </w:rPr>
              <w:t xml:space="preserve"> </w:t>
            </w:r>
            <w:r w:rsidR="003E12B2" w:rsidRPr="00076D44">
              <w:rPr>
                <w:rFonts w:cs="Calibri"/>
                <w:b/>
                <w:lang w:val="nl-NL"/>
              </w:rPr>
              <w:t xml:space="preserve">6 Asylum Law (Asylgesetz 2005). </w:t>
            </w:r>
            <w:r w:rsidR="00254859" w:rsidRPr="00076D44">
              <w:rPr>
                <w:rFonts w:cs="Calibri"/>
                <w:b/>
                <w:lang w:val="nl-NL"/>
              </w:rPr>
              <w:t xml:space="preserve">This rule determines that </w:t>
            </w:r>
            <w:r w:rsidR="007D22AC" w:rsidRPr="00076D44">
              <w:rPr>
                <w:rFonts w:cs="Calibri"/>
                <w:b/>
                <w:lang w:val="nl-NL"/>
              </w:rPr>
              <w:t xml:space="preserve">if </w:t>
            </w:r>
            <w:r w:rsidR="00587D16" w:rsidRPr="00076D44">
              <w:rPr>
                <w:rFonts w:cs="Calibri"/>
                <w:b/>
                <w:lang w:val="nl-NL"/>
              </w:rPr>
              <w:t>by</w:t>
            </w:r>
            <w:r w:rsidR="007D22AC" w:rsidRPr="00076D44">
              <w:rPr>
                <w:rFonts w:cs="Calibri"/>
                <w:b/>
                <w:lang w:val="nl-NL"/>
              </w:rPr>
              <w:t xml:space="preserve"> age diagnosis</w:t>
            </w:r>
            <w:r w:rsidR="00F56544" w:rsidRPr="00076D44">
              <w:rPr>
                <w:rFonts w:cs="Calibri"/>
                <w:b/>
                <w:lang w:val="nl-NL"/>
              </w:rPr>
              <w:t xml:space="preserve"> </w:t>
            </w:r>
          </w:p>
          <w:p w:rsidR="00330ADC" w:rsidRPr="00076D44" w:rsidRDefault="00F56544" w:rsidP="00D65803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 xml:space="preserve">a minor age can not be excluded </w:t>
            </w:r>
            <w:r w:rsidR="00587D16" w:rsidRPr="00076D44">
              <w:rPr>
                <w:rFonts w:cs="Calibri"/>
                <w:b/>
                <w:lang w:val="nl-NL"/>
              </w:rPr>
              <w:t>and if doubts on an age of majority still exist in favor of the applicant the authorities have to treat him or her as a minor.</w:t>
            </w:r>
            <w:r w:rsidR="00192DED" w:rsidRPr="00076D44">
              <w:rPr>
                <w:rFonts w:cs="Calibri"/>
                <w:b/>
                <w:lang w:val="nl-NL"/>
              </w:rPr>
              <w:t xml:space="preserve"> In this case</w:t>
            </w:r>
            <w:r w:rsidR="00721D5D" w:rsidRPr="00076D44">
              <w:rPr>
                <w:rFonts w:cs="Calibri"/>
                <w:b/>
                <w:lang w:val="nl-NL"/>
              </w:rPr>
              <w:t>,</w:t>
            </w:r>
            <w:r w:rsidR="00192DED" w:rsidRPr="00076D44">
              <w:rPr>
                <w:rFonts w:cs="Calibri"/>
                <w:b/>
                <w:lang w:val="nl-NL"/>
              </w:rPr>
              <w:t xml:space="preserve"> the majority age </w:t>
            </w:r>
            <w:r w:rsidR="00D65803" w:rsidRPr="00076D44">
              <w:rPr>
                <w:rFonts w:cs="Calibri"/>
                <w:b/>
                <w:lang w:val="nl-NL"/>
              </w:rPr>
              <w:t>had</w:t>
            </w:r>
            <w:r w:rsidR="00337057" w:rsidRPr="00076D44">
              <w:rPr>
                <w:rFonts w:cs="Calibri"/>
                <w:b/>
                <w:lang w:val="nl-NL"/>
              </w:rPr>
              <w:t xml:space="preserve"> not been</w:t>
            </w:r>
            <w:r w:rsidR="00D65803" w:rsidRPr="00076D44">
              <w:rPr>
                <w:rFonts w:cs="Calibri"/>
                <w:b/>
                <w:lang w:val="nl-NL"/>
              </w:rPr>
              <w:t xml:space="preserve"> confirmed with absolute certainty and thus</w:t>
            </w:r>
            <w:r w:rsidR="00337057" w:rsidRPr="00076D44">
              <w:rPr>
                <w:rFonts w:cs="Calibri"/>
                <w:b/>
                <w:lang w:val="nl-NL"/>
              </w:rPr>
              <w:t xml:space="preserve"> the applicant </w:t>
            </w:r>
            <w:r w:rsidR="00D65803" w:rsidRPr="00076D44">
              <w:rPr>
                <w:rFonts w:cs="Calibri"/>
                <w:b/>
                <w:lang w:val="nl-NL"/>
              </w:rPr>
              <w:t>–</w:t>
            </w:r>
            <w:r w:rsidR="00337057" w:rsidRPr="00076D44">
              <w:rPr>
                <w:rFonts w:cs="Calibri"/>
                <w:b/>
                <w:lang w:val="nl-NL"/>
              </w:rPr>
              <w:t xml:space="preserve"> based on the rule </w:t>
            </w:r>
            <w:r w:rsidR="00D65803" w:rsidRPr="00076D44">
              <w:rPr>
                <w:rFonts w:cs="Calibri"/>
                <w:b/>
                <w:lang w:val="nl-NL"/>
              </w:rPr>
              <w:t>mentioned above –</w:t>
            </w:r>
            <w:r w:rsidR="00337057" w:rsidRPr="00076D44">
              <w:rPr>
                <w:rFonts w:cs="Calibri"/>
                <w:b/>
                <w:lang w:val="nl-NL"/>
              </w:rPr>
              <w:t xml:space="preserve"> should have been treated as a minor. </w:t>
            </w:r>
          </w:p>
          <w:p w:rsidR="00F56544" w:rsidRPr="00076D44" w:rsidRDefault="00D65803" w:rsidP="0026483B">
            <w:pPr>
              <w:spacing w:after="0" w:line="240" w:lineRule="auto"/>
              <w:jc w:val="both"/>
              <w:rPr>
                <w:rFonts w:cs="Calibri"/>
                <w:b/>
                <w:lang w:val="nl-NL"/>
              </w:rPr>
            </w:pPr>
            <w:r w:rsidRPr="00076D44">
              <w:rPr>
                <w:rFonts w:cs="Calibri"/>
                <w:b/>
                <w:lang w:val="nl-NL"/>
              </w:rPr>
              <w:t>Furthermore,</w:t>
            </w:r>
            <w:r w:rsidR="00337057" w:rsidRPr="00076D44">
              <w:rPr>
                <w:rFonts w:cs="Calibri"/>
                <w:b/>
                <w:lang w:val="nl-NL"/>
              </w:rPr>
              <w:t xml:space="preserve"> the Constitutional Court complained that the Asylum Court did not examine the </w:t>
            </w:r>
            <w:r w:rsidR="00A845FC" w:rsidRPr="00076D44">
              <w:rPr>
                <w:rFonts w:cs="Calibri"/>
                <w:b/>
                <w:lang w:val="nl-NL"/>
              </w:rPr>
              <w:t xml:space="preserve">submitted </w:t>
            </w:r>
            <w:r w:rsidR="00337057" w:rsidRPr="00076D44">
              <w:rPr>
                <w:rFonts w:cs="Calibri"/>
                <w:b/>
                <w:lang w:val="nl-NL"/>
              </w:rPr>
              <w:t>birth certificate.</w:t>
            </w:r>
            <w:r w:rsidR="00A845FC" w:rsidRPr="00076D44">
              <w:rPr>
                <w:rFonts w:cs="Calibri"/>
                <w:b/>
                <w:lang w:val="nl-NL"/>
              </w:rPr>
              <w:t xml:space="preserve"> </w:t>
            </w:r>
            <w:r w:rsidRPr="00076D44">
              <w:rPr>
                <w:rFonts w:cs="Calibri"/>
                <w:b/>
                <w:lang w:val="nl-NL"/>
              </w:rPr>
              <w:t>T</w:t>
            </w:r>
            <w:r w:rsidR="00330ADC" w:rsidRPr="00076D44">
              <w:rPr>
                <w:rFonts w:cs="Calibri"/>
                <w:b/>
                <w:lang w:val="nl-NL"/>
              </w:rPr>
              <w:t>he fact that</w:t>
            </w:r>
            <w:r w:rsidRPr="00076D44">
              <w:rPr>
                <w:rFonts w:cs="Calibri"/>
                <w:b/>
                <w:lang w:val="nl-NL"/>
              </w:rPr>
              <w:t xml:space="preserve"> only</w:t>
            </w:r>
            <w:r w:rsidR="00A845FC" w:rsidRPr="00076D44">
              <w:rPr>
                <w:rFonts w:cs="Calibri"/>
                <w:b/>
                <w:lang w:val="nl-NL"/>
              </w:rPr>
              <w:t xml:space="preserve"> </w:t>
            </w:r>
            <w:r w:rsidR="00330ADC" w:rsidRPr="00076D44">
              <w:rPr>
                <w:rFonts w:cs="Calibri"/>
                <w:b/>
                <w:lang w:val="nl-NL"/>
              </w:rPr>
              <w:t xml:space="preserve">a copy of the birth certificate </w:t>
            </w:r>
            <w:r w:rsidR="00A845FC" w:rsidRPr="00076D44">
              <w:rPr>
                <w:rFonts w:cs="Calibri"/>
                <w:b/>
                <w:lang w:val="nl-NL"/>
              </w:rPr>
              <w:t xml:space="preserve">was submitted </w:t>
            </w:r>
            <w:r w:rsidR="00A845FC" w:rsidRPr="00076D44">
              <w:rPr>
                <w:rFonts w:cs="Calibri"/>
                <w:b/>
                <w:lang w:val="nl-NL"/>
              </w:rPr>
              <w:lastRenderedPageBreak/>
              <w:t xml:space="preserve">is not </w:t>
            </w:r>
            <w:r w:rsidR="00330ADC" w:rsidRPr="00076D44">
              <w:rPr>
                <w:rFonts w:cs="Calibri"/>
                <w:b/>
                <w:lang w:val="nl-NL"/>
              </w:rPr>
              <w:t>sufficient basis</w:t>
            </w:r>
            <w:r w:rsidR="00A845FC" w:rsidRPr="00076D44">
              <w:rPr>
                <w:rFonts w:cs="Calibri"/>
                <w:b/>
                <w:lang w:val="nl-NL"/>
              </w:rPr>
              <w:t xml:space="preserve"> to doubt its authenticity. </w:t>
            </w:r>
            <w:r w:rsidR="007A1D70" w:rsidRPr="00076D44">
              <w:rPr>
                <w:rFonts w:cs="Calibri"/>
                <w:b/>
                <w:lang w:val="nl-NL"/>
              </w:rPr>
              <w:t xml:space="preserve">Finally it stated </w:t>
            </w:r>
            <w:r w:rsidR="002F7AFA" w:rsidRPr="00076D44">
              <w:rPr>
                <w:rFonts w:cs="Calibri"/>
                <w:b/>
                <w:lang w:val="nl-NL"/>
              </w:rPr>
              <w:t xml:space="preserve">that judicial </w:t>
            </w:r>
            <w:r w:rsidR="00174AAE" w:rsidRPr="00076D44">
              <w:rPr>
                <w:rFonts w:cs="Calibri"/>
                <w:b/>
                <w:lang w:val="nl-NL"/>
              </w:rPr>
              <w:t>decision</w:t>
            </w:r>
            <w:r w:rsidR="002F7AFA" w:rsidRPr="00076D44">
              <w:rPr>
                <w:rFonts w:cs="Calibri"/>
                <w:b/>
                <w:lang w:val="nl-NL"/>
              </w:rPr>
              <w:t>s concerning custody</w:t>
            </w:r>
            <w:r w:rsidR="00330ADC" w:rsidRPr="00076D44">
              <w:rPr>
                <w:rFonts w:cs="Calibri"/>
                <w:b/>
                <w:lang w:val="nl-NL"/>
              </w:rPr>
              <w:t xml:space="preserve"> (and in connection with that the </w:t>
            </w:r>
            <w:r w:rsidR="0026483B" w:rsidRPr="00076D44">
              <w:rPr>
                <w:rFonts w:cs="Calibri"/>
                <w:b/>
                <w:lang w:val="nl-NL"/>
              </w:rPr>
              <w:t xml:space="preserve">finding that he is a minor) </w:t>
            </w:r>
            <w:r w:rsidR="002F7AFA" w:rsidRPr="00076D44">
              <w:rPr>
                <w:rFonts w:cs="Calibri"/>
                <w:b/>
                <w:lang w:val="nl-NL"/>
              </w:rPr>
              <w:t>are binding and cannot be ignored.</w:t>
            </w:r>
          </w:p>
        </w:tc>
      </w:tr>
      <w:tr w:rsidR="00B56429" w:rsidRPr="00F22DDD">
        <w:trPr>
          <w:trHeight w:val="385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9D158F" w:rsidRDefault="00B56429" w:rsidP="007378F7">
            <w:pPr>
              <w:spacing w:after="0" w:line="240" w:lineRule="auto"/>
              <w:rPr>
                <w:rFonts w:cs="Calibri"/>
                <w:i/>
                <w:lang w:val="en-US"/>
              </w:rPr>
            </w:pPr>
            <w:r w:rsidRPr="009D158F">
              <w:rPr>
                <w:rFonts w:cs="Calibri"/>
                <w:i/>
                <w:lang w:val="en-US"/>
              </w:rPr>
              <w:t xml:space="preserve">Relevant extracts from the </w:t>
            </w:r>
            <w:proofErr w:type="spellStart"/>
            <w:r w:rsidRPr="009D158F">
              <w:rPr>
                <w:rFonts w:cs="Calibri"/>
                <w:i/>
                <w:lang w:val="en-US"/>
              </w:rPr>
              <w:t>judgement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/>
                <w:lang w:val="nl-NL"/>
              </w:rPr>
            </w:pPr>
          </w:p>
        </w:tc>
      </w:tr>
      <w:tr w:rsidR="00B56429" w:rsidRPr="00F26BE2">
        <w:trPr>
          <w:trHeight w:val="325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lang w:val="nl-NL"/>
              </w:rPr>
            </w:pP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i/>
              </w:rPr>
            </w:pPr>
            <w:r w:rsidRPr="00F26BE2">
              <w:rPr>
                <w:rFonts w:cs="Calibri"/>
                <w:i/>
              </w:rPr>
              <w:t>Outcome</w:t>
            </w:r>
            <w:r>
              <w:rPr>
                <w:rFonts w:cs="Calibri"/>
                <w:i/>
              </w:rPr>
              <w:t xml:space="preserve"> of proceedings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lang w:val="nl-NL"/>
              </w:rPr>
            </w:pPr>
          </w:p>
        </w:tc>
      </w:tr>
      <w:tr w:rsidR="00B56429" w:rsidRPr="00F26BE2">
        <w:tc>
          <w:tcPr>
            <w:tcW w:w="3403" w:type="dxa"/>
            <w:gridSpan w:val="2"/>
            <w:tcBorders>
              <w:top w:val="nil"/>
            </w:tcBorders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  <w:r w:rsidRPr="00F26BE2">
              <w:rPr>
                <w:rFonts w:cs="Calibri"/>
              </w:rPr>
              <w:t>Subsequent Proceedings</w:t>
            </w:r>
          </w:p>
        </w:tc>
        <w:tc>
          <w:tcPr>
            <w:tcW w:w="5953" w:type="dxa"/>
            <w:gridSpan w:val="2"/>
          </w:tcPr>
          <w:p w:rsidR="00B56429" w:rsidRPr="00076D44" w:rsidRDefault="00CE0030" w:rsidP="007378F7">
            <w:pPr>
              <w:spacing w:after="0" w:line="240" w:lineRule="auto"/>
              <w:jc w:val="both"/>
              <w:rPr>
                <w:b/>
                <w:bCs/>
              </w:rPr>
            </w:pPr>
            <w:r w:rsidRPr="00076D44">
              <w:rPr>
                <w:b/>
                <w:bCs/>
              </w:rPr>
              <w:t xml:space="preserve">The Asylum Court has meanwhile </w:t>
            </w:r>
            <w:r w:rsidR="00CA454E" w:rsidRPr="00076D44">
              <w:rPr>
                <w:b/>
                <w:bCs/>
              </w:rPr>
              <w:t xml:space="preserve">annuled </w:t>
            </w:r>
            <w:r w:rsidRPr="00076D44">
              <w:rPr>
                <w:b/>
                <w:bCs/>
              </w:rPr>
              <w:t>its decision and remitted the issue to the Austrian Federal Asylum Office for a new proceeding and decision (B1 428.257-1/2012/4</w:t>
            </w:r>
            <w:r w:rsidR="0026483B" w:rsidRPr="00076D44">
              <w:rPr>
                <w:b/>
                <w:bCs/>
              </w:rPr>
              <w:t>E</w:t>
            </w:r>
            <w:r w:rsidRPr="00076D44">
              <w:rPr>
                <w:b/>
                <w:bCs/>
                <w:vertAlign w:val="superscript"/>
              </w:rPr>
              <w:t xml:space="preserve"> </w:t>
            </w:r>
            <w:r w:rsidRPr="00076D44">
              <w:rPr>
                <w:b/>
                <w:bCs/>
              </w:rPr>
              <w:t>from 22/08/2012).</w:t>
            </w:r>
          </w:p>
        </w:tc>
      </w:tr>
      <w:tr w:rsidR="00B56429" w:rsidRPr="00F22DDD">
        <w:tc>
          <w:tcPr>
            <w:tcW w:w="3403" w:type="dxa"/>
            <w:gridSpan w:val="2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F26BE2">
              <w:rPr>
                <w:rFonts w:cs="Calibri"/>
                <w:bCs/>
                <w:lang w:val="en-US"/>
              </w:rPr>
              <w:t xml:space="preserve">Dublin regulation’s legal provisions applicable </w:t>
            </w:r>
          </w:p>
        </w:tc>
        <w:tc>
          <w:tcPr>
            <w:tcW w:w="5953" w:type="dxa"/>
            <w:gridSpan w:val="2"/>
          </w:tcPr>
          <w:p w:rsidR="00B56429" w:rsidRPr="00076D44" w:rsidRDefault="00CA454E" w:rsidP="00CB63E7">
            <w:pPr>
              <w:spacing w:after="0" w:line="240" w:lineRule="auto"/>
              <w:rPr>
                <w:rFonts w:cs="Calibri"/>
                <w:b/>
                <w:lang w:val="en-US"/>
              </w:rPr>
            </w:pPr>
            <w:r w:rsidRPr="00076D44">
              <w:rPr>
                <w:rFonts w:cs="Calibri"/>
                <w:b/>
                <w:lang w:val="en-US"/>
              </w:rPr>
              <w:t>Art 6</w:t>
            </w:r>
          </w:p>
        </w:tc>
      </w:tr>
      <w:tr w:rsidR="00B56429" w:rsidRPr="00F26BE2">
        <w:trPr>
          <w:cantSplit/>
        </w:trPr>
        <w:tc>
          <w:tcPr>
            <w:tcW w:w="3403" w:type="dxa"/>
            <w:gridSpan w:val="2"/>
            <w:vMerge w:val="restart"/>
          </w:tcPr>
          <w:p w:rsidR="00B56429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  <w:r w:rsidRPr="00F26BE2">
              <w:rPr>
                <w:rFonts w:cs="Calibri"/>
                <w:bCs/>
              </w:rPr>
              <w:t xml:space="preserve">Legal provisions cited </w:t>
            </w:r>
          </w:p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</w:rPr>
              <w:t>(national &amp; international references)</w:t>
            </w:r>
          </w:p>
        </w:tc>
        <w:tc>
          <w:tcPr>
            <w:tcW w:w="2976" w:type="dxa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 w:rsidRPr="00076D44">
              <w:rPr>
                <w:rFonts w:cs="Calibri"/>
                <w:bCs/>
                <w:i/>
                <w:iCs/>
                <w:lang w:val="en-US"/>
              </w:rPr>
              <w:t>Legislation</w:t>
            </w:r>
          </w:p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</w:p>
        </w:tc>
        <w:tc>
          <w:tcPr>
            <w:tcW w:w="2977" w:type="dxa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  <w:lang w:val="en-US"/>
              </w:rPr>
            </w:pPr>
            <w:r w:rsidRPr="00076D44">
              <w:rPr>
                <w:rFonts w:cs="Calibri"/>
                <w:bCs/>
                <w:i/>
                <w:iCs/>
                <w:lang w:val="en-US"/>
              </w:rPr>
              <w:t>Articles</w:t>
            </w:r>
          </w:p>
        </w:tc>
      </w:tr>
      <w:tr w:rsidR="00B56429" w:rsidRPr="00F26BE2">
        <w:trPr>
          <w:cantSplit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6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076D44" w:rsidRDefault="00CA454E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076D44">
              <w:rPr>
                <w:rFonts w:cs="Calibri"/>
                <w:bCs/>
                <w:lang w:val="en-US"/>
              </w:rPr>
              <w:t>BVG-</w:t>
            </w:r>
            <w:proofErr w:type="spellStart"/>
            <w:r w:rsidRPr="00076D44">
              <w:rPr>
                <w:rFonts w:cs="Calibri"/>
                <w:bCs/>
                <w:lang w:val="en-US"/>
              </w:rPr>
              <w:t>Rassendiskriminierung</w:t>
            </w:r>
            <w:proofErr w:type="spellEnd"/>
          </w:p>
        </w:tc>
        <w:tc>
          <w:tcPr>
            <w:tcW w:w="297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076D44" w:rsidRDefault="00CA454E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076D44">
              <w:rPr>
                <w:rFonts w:cs="Calibri"/>
                <w:bCs/>
                <w:lang w:val="en-US"/>
              </w:rPr>
              <w:t>Art I Abs 1</w:t>
            </w:r>
          </w:p>
        </w:tc>
      </w:tr>
      <w:tr w:rsidR="00B56429" w:rsidRPr="00F26BE2">
        <w:trPr>
          <w:cantSplit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076D44" w:rsidRDefault="00CA454E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076D44">
              <w:rPr>
                <w:rFonts w:cs="Calibri"/>
                <w:bCs/>
                <w:lang w:val="en-US"/>
              </w:rPr>
              <w:t>Asylum Law (</w:t>
            </w:r>
            <w:proofErr w:type="spellStart"/>
            <w:r w:rsidRPr="00076D44">
              <w:rPr>
                <w:rFonts w:cs="Calibri"/>
                <w:bCs/>
                <w:lang w:val="en-US"/>
              </w:rPr>
              <w:t>Asylgesetz</w:t>
            </w:r>
            <w:proofErr w:type="spellEnd"/>
            <w:r w:rsidRPr="00076D44">
              <w:rPr>
                <w:rFonts w:cs="Calibri"/>
                <w:bCs/>
                <w:lang w:val="en-US"/>
              </w:rPr>
              <w:t xml:space="preserve"> 2005)</w:t>
            </w: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076D44" w:rsidRDefault="00CA454E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076D44">
              <w:rPr>
                <w:rFonts w:cs="Calibri"/>
                <w:bCs/>
                <w:lang w:val="en-US"/>
              </w:rPr>
              <w:t>§§ 5, 10, 15 (1) Z6</w:t>
            </w:r>
          </w:p>
        </w:tc>
      </w:tr>
      <w:tr w:rsidR="00B56429" w:rsidRPr="00F26BE2">
        <w:trPr>
          <w:cantSplit/>
          <w:trHeight w:val="304"/>
        </w:trPr>
        <w:tc>
          <w:tcPr>
            <w:tcW w:w="3403" w:type="dxa"/>
            <w:gridSpan w:val="2"/>
            <w:vMerge w:val="restart"/>
          </w:tcPr>
          <w:p w:rsidR="00B56429" w:rsidRPr="00BB4B72" w:rsidRDefault="00B56429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BB4B72">
              <w:rPr>
                <w:rFonts w:cs="Calibri"/>
                <w:bCs/>
                <w:lang w:val="en-US"/>
              </w:rPr>
              <w:t>Case law cited</w:t>
            </w:r>
          </w:p>
          <w:p w:rsidR="00B56429" w:rsidRPr="00BB4B72" w:rsidRDefault="00B56429" w:rsidP="00CB63E7">
            <w:pPr>
              <w:spacing w:after="0" w:line="240" w:lineRule="auto"/>
              <w:rPr>
                <w:rFonts w:cs="Calibri"/>
                <w:bCs/>
                <w:lang w:val="en-US"/>
              </w:rPr>
            </w:pPr>
            <w:r w:rsidRPr="00BB4B72">
              <w:rPr>
                <w:rFonts w:cs="Calibri"/>
                <w:bCs/>
                <w:lang w:val="en-US"/>
              </w:rPr>
              <w:t xml:space="preserve">(national </w:t>
            </w:r>
            <w:r>
              <w:rPr>
                <w:rFonts w:cs="Calibri"/>
                <w:bCs/>
                <w:lang w:val="en-US"/>
              </w:rPr>
              <w:t>&amp;</w:t>
            </w:r>
            <w:r w:rsidRPr="00BB4B72">
              <w:rPr>
                <w:rFonts w:cs="Calibri"/>
                <w:bCs/>
                <w:lang w:val="en-US"/>
              </w:rPr>
              <w:t xml:space="preserve"> international references)</w:t>
            </w:r>
          </w:p>
        </w:tc>
        <w:tc>
          <w:tcPr>
            <w:tcW w:w="2976" w:type="dxa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076D44">
              <w:rPr>
                <w:rFonts w:cs="Calibri"/>
                <w:bCs/>
                <w:i/>
                <w:iCs/>
              </w:rPr>
              <w:t>Court name</w:t>
            </w:r>
          </w:p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</w:p>
        </w:tc>
        <w:tc>
          <w:tcPr>
            <w:tcW w:w="2977" w:type="dxa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076D44">
              <w:rPr>
                <w:rFonts w:cs="Calibri"/>
                <w:bCs/>
                <w:i/>
                <w:iCs/>
              </w:rPr>
              <w:t>Neutral citation</w:t>
            </w:r>
          </w:p>
        </w:tc>
      </w:tr>
      <w:tr w:rsidR="00B56429" w:rsidRPr="00F26BE2">
        <w:trPr>
          <w:cantSplit/>
          <w:trHeight w:val="266"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6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>
        <w:trPr>
          <w:cantSplit/>
          <w:trHeight w:val="232"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>
        <w:trPr>
          <w:cantSplit/>
          <w:trHeight w:val="274"/>
        </w:trPr>
        <w:tc>
          <w:tcPr>
            <w:tcW w:w="3403" w:type="dxa"/>
            <w:gridSpan w:val="2"/>
            <w:vMerge w:val="restart"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  <w:r w:rsidRPr="00F26BE2">
              <w:rPr>
                <w:rFonts w:cs="Calibri"/>
                <w:bCs/>
              </w:rPr>
              <w:t xml:space="preserve">Other sources cited (NGO reports etc) </w:t>
            </w:r>
          </w:p>
        </w:tc>
        <w:tc>
          <w:tcPr>
            <w:tcW w:w="2976" w:type="dxa"/>
          </w:tcPr>
          <w:p w:rsidR="00B56429" w:rsidRPr="00076D44" w:rsidRDefault="00B56429" w:rsidP="00CB63E7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076D44">
              <w:rPr>
                <w:rFonts w:cs="Calibri"/>
                <w:bCs/>
                <w:i/>
                <w:iCs/>
              </w:rPr>
              <w:t>Organization</w:t>
            </w:r>
            <w:r w:rsidRPr="00076D44">
              <w:rPr>
                <w:rFonts w:cs="Calibri"/>
                <w:bCs/>
                <w:i/>
                <w:iCs/>
              </w:rPr>
              <w:tab/>
            </w:r>
          </w:p>
          <w:p w:rsidR="00B56429" w:rsidRPr="00076D44" w:rsidRDefault="00B56429" w:rsidP="00CB63E7">
            <w:pPr>
              <w:tabs>
                <w:tab w:val="left" w:pos="1575"/>
              </w:tabs>
              <w:spacing w:after="0" w:line="240" w:lineRule="auto"/>
              <w:rPr>
                <w:rFonts w:cs="Calibri"/>
                <w:bCs/>
                <w:i/>
                <w:iCs/>
              </w:rPr>
            </w:pPr>
          </w:p>
        </w:tc>
        <w:tc>
          <w:tcPr>
            <w:tcW w:w="2977" w:type="dxa"/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  <w:i/>
                <w:iCs/>
              </w:rPr>
            </w:pPr>
            <w:r w:rsidRPr="00076D44">
              <w:rPr>
                <w:rFonts w:cs="Calibri"/>
                <w:bCs/>
                <w:i/>
                <w:iCs/>
              </w:rPr>
              <w:t>Reference</w:t>
            </w:r>
          </w:p>
        </w:tc>
      </w:tr>
      <w:tr w:rsidR="00B56429" w:rsidRPr="00F26BE2">
        <w:trPr>
          <w:cantSplit/>
          <w:trHeight w:val="278"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6" w:type="dxa"/>
            <w:tcBorders>
              <w:bottom w:val="dashed" w:sz="4" w:space="0" w:color="auto"/>
              <w:righ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2977" w:type="dxa"/>
            <w:tcBorders>
              <w:left w:val="dashed" w:sz="4" w:space="0" w:color="auto"/>
              <w:bottom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B56429" w:rsidRPr="00F26BE2">
        <w:trPr>
          <w:cantSplit/>
          <w:trHeight w:val="282"/>
        </w:trPr>
        <w:tc>
          <w:tcPr>
            <w:tcW w:w="3403" w:type="dxa"/>
            <w:gridSpan w:val="2"/>
            <w:vMerge/>
          </w:tcPr>
          <w:p w:rsidR="00B56429" w:rsidRPr="00F26BE2" w:rsidRDefault="00B56429" w:rsidP="00CB63E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6" w:type="dxa"/>
            <w:tcBorders>
              <w:top w:val="dashed" w:sz="4" w:space="0" w:color="auto"/>
              <w:righ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dashed" w:sz="4" w:space="0" w:color="auto"/>
            </w:tcBorders>
          </w:tcPr>
          <w:p w:rsidR="00B56429" w:rsidRPr="00076D44" w:rsidRDefault="00B56429" w:rsidP="00CB63E7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56429" w:rsidRPr="0026483B">
        <w:tc>
          <w:tcPr>
            <w:tcW w:w="3403" w:type="dxa"/>
            <w:gridSpan w:val="2"/>
          </w:tcPr>
          <w:p w:rsidR="00B56429" w:rsidRPr="0026483B" w:rsidRDefault="00B56429" w:rsidP="00CB63E7">
            <w:pPr>
              <w:spacing w:after="0" w:line="240" w:lineRule="auto"/>
              <w:rPr>
                <w:rFonts w:cs="Calibri"/>
                <w:lang w:val="en-GB"/>
              </w:rPr>
            </w:pPr>
            <w:r w:rsidRPr="0026483B">
              <w:rPr>
                <w:rFonts w:cs="Calibri"/>
                <w:lang w:val="en-GB"/>
              </w:rPr>
              <w:t>Observations/Comments</w:t>
            </w:r>
          </w:p>
          <w:p w:rsidR="00B56429" w:rsidRPr="0026483B" w:rsidRDefault="00B56429" w:rsidP="00CB63E7">
            <w:pPr>
              <w:spacing w:after="0" w:line="240" w:lineRule="auto"/>
              <w:rPr>
                <w:rFonts w:cs="Calibri"/>
                <w:lang w:val="en-GB"/>
              </w:rPr>
            </w:pPr>
          </w:p>
        </w:tc>
        <w:tc>
          <w:tcPr>
            <w:tcW w:w="5953" w:type="dxa"/>
            <w:gridSpan w:val="2"/>
          </w:tcPr>
          <w:p w:rsidR="00C400B7" w:rsidRPr="00076D44" w:rsidRDefault="006D6002" w:rsidP="00076D44">
            <w:pPr>
              <w:spacing w:after="0" w:line="240" w:lineRule="auto"/>
              <w:jc w:val="both"/>
              <w:rPr>
                <w:b/>
                <w:lang w:val="en-GB"/>
              </w:rPr>
            </w:pPr>
            <w:r w:rsidRPr="00076D44">
              <w:rPr>
                <w:rFonts w:cs="Calibri"/>
                <w:b/>
                <w:lang w:val="en-GB"/>
              </w:rPr>
              <w:t xml:space="preserve">The Austrian Asylum Law contains the rule that </w:t>
            </w:r>
            <w:r w:rsidR="006511AC" w:rsidRPr="00076D44">
              <w:rPr>
                <w:rFonts w:cs="Calibri"/>
                <w:b/>
                <w:lang w:val="en-GB"/>
              </w:rPr>
              <w:t xml:space="preserve">if an applicant’s majority age may be doubted </w:t>
            </w:r>
            <w:r w:rsidRPr="00076D44">
              <w:rPr>
                <w:rFonts w:cs="Calibri"/>
                <w:b/>
                <w:lang w:val="en-GB"/>
              </w:rPr>
              <w:t xml:space="preserve">in </w:t>
            </w:r>
            <w:r w:rsidR="0026483B" w:rsidRPr="00076D44">
              <w:rPr>
                <w:rFonts w:cs="Calibri"/>
                <w:b/>
                <w:lang w:val="en-GB"/>
              </w:rPr>
              <w:t>favour</w:t>
            </w:r>
            <w:r w:rsidRPr="00076D44">
              <w:rPr>
                <w:rFonts w:cs="Calibri"/>
                <w:b/>
                <w:lang w:val="en-GB"/>
              </w:rPr>
              <w:t xml:space="preserve"> of the applicant</w:t>
            </w:r>
            <w:r w:rsidR="006511AC" w:rsidRPr="00076D44">
              <w:rPr>
                <w:rFonts w:cs="Calibri"/>
                <w:b/>
                <w:lang w:val="en-GB"/>
              </w:rPr>
              <w:t>,</w:t>
            </w:r>
            <w:r w:rsidRPr="00076D44">
              <w:rPr>
                <w:rFonts w:cs="Calibri"/>
                <w:b/>
                <w:lang w:val="en-GB"/>
              </w:rPr>
              <w:t xml:space="preserve"> the authorities have to treat him or her as a minor. </w:t>
            </w:r>
            <w:r w:rsidR="00C400B7" w:rsidRPr="00076D44">
              <w:rPr>
                <w:b/>
                <w:lang w:val="en-GB"/>
              </w:rPr>
              <w:t xml:space="preserve">In this case the authorities should at least have </w:t>
            </w:r>
            <w:r w:rsidR="006511AC" w:rsidRPr="00076D44">
              <w:rPr>
                <w:b/>
                <w:lang w:val="en-GB"/>
              </w:rPr>
              <w:t>asked</w:t>
            </w:r>
            <w:r w:rsidR="00C400B7" w:rsidRPr="00076D44">
              <w:rPr>
                <w:b/>
                <w:lang w:val="en-GB"/>
              </w:rPr>
              <w:t xml:space="preserve"> the applicant to submit the original birth certificate or name circumstances that prove his age.</w:t>
            </w:r>
          </w:p>
        </w:tc>
      </w:tr>
    </w:tbl>
    <w:p w:rsidR="00B56429" w:rsidRPr="006511AC" w:rsidRDefault="00B56429" w:rsidP="00B56429">
      <w:pPr>
        <w:spacing w:after="0" w:line="240" w:lineRule="auto"/>
        <w:rPr>
          <w:rFonts w:cs="Calibri"/>
          <w:lang w:val="en-GB"/>
        </w:rPr>
      </w:pPr>
    </w:p>
    <w:p w:rsidR="008D60D5" w:rsidRPr="006511AC" w:rsidRDefault="008D60D5">
      <w:pPr>
        <w:rPr>
          <w:lang w:val="en-GB"/>
        </w:rPr>
      </w:pPr>
    </w:p>
    <w:sectPr w:rsidR="008D60D5" w:rsidRPr="006511AC" w:rsidSect="00CB63E7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67" w:rsidRDefault="00455267" w:rsidP="00B56429">
      <w:pPr>
        <w:spacing w:after="0" w:line="240" w:lineRule="auto"/>
      </w:pPr>
      <w:r>
        <w:separator/>
      </w:r>
    </w:p>
  </w:endnote>
  <w:endnote w:type="continuationSeparator" w:id="0">
    <w:p w:rsidR="00455267" w:rsidRDefault="00455267" w:rsidP="00B5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67" w:rsidRDefault="00455267" w:rsidP="00B56429">
      <w:pPr>
        <w:spacing w:after="0" w:line="240" w:lineRule="auto"/>
      </w:pPr>
      <w:r>
        <w:separator/>
      </w:r>
    </w:p>
  </w:footnote>
  <w:footnote w:type="continuationSeparator" w:id="0">
    <w:p w:rsidR="00455267" w:rsidRDefault="00455267" w:rsidP="00B56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29"/>
    <w:rsid w:val="00076D44"/>
    <w:rsid w:val="000D7BD7"/>
    <w:rsid w:val="000F039C"/>
    <w:rsid w:val="00174AAE"/>
    <w:rsid w:val="00192DED"/>
    <w:rsid w:val="001B30CA"/>
    <w:rsid w:val="00254859"/>
    <w:rsid w:val="0026483B"/>
    <w:rsid w:val="002F7AFA"/>
    <w:rsid w:val="00330ADC"/>
    <w:rsid w:val="00337057"/>
    <w:rsid w:val="0035554F"/>
    <w:rsid w:val="003B7C6B"/>
    <w:rsid w:val="003E12B2"/>
    <w:rsid w:val="004476D2"/>
    <w:rsid w:val="00455267"/>
    <w:rsid w:val="004B5D4F"/>
    <w:rsid w:val="004C3E85"/>
    <w:rsid w:val="005055C0"/>
    <w:rsid w:val="00530DAF"/>
    <w:rsid w:val="005419CA"/>
    <w:rsid w:val="00587D16"/>
    <w:rsid w:val="0059103D"/>
    <w:rsid w:val="005E350E"/>
    <w:rsid w:val="005F6FFE"/>
    <w:rsid w:val="006511AC"/>
    <w:rsid w:val="006A3385"/>
    <w:rsid w:val="006D6002"/>
    <w:rsid w:val="00721D5D"/>
    <w:rsid w:val="007378F7"/>
    <w:rsid w:val="007A1D70"/>
    <w:rsid w:val="007D22AC"/>
    <w:rsid w:val="00804807"/>
    <w:rsid w:val="008D60D5"/>
    <w:rsid w:val="008E255B"/>
    <w:rsid w:val="0094531B"/>
    <w:rsid w:val="0097758A"/>
    <w:rsid w:val="009B7C29"/>
    <w:rsid w:val="00A845FC"/>
    <w:rsid w:val="00AE3E92"/>
    <w:rsid w:val="00B32D03"/>
    <w:rsid w:val="00B56429"/>
    <w:rsid w:val="00B91017"/>
    <w:rsid w:val="00C400B7"/>
    <w:rsid w:val="00CA454E"/>
    <w:rsid w:val="00CB63E7"/>
    <w:rsid w:val="00CE0030"/>
    <w:rsid w:val="00CE475E"/>
    <w:rsid w:val="00D65803"/>
    <w:rsid w:val="00D951B3"/>
    <w:rsid w:val="00E33336"/>
    <w:rsid w:val="00E56D0D"/>
    <w:rsid w:val="00E853E8"/>
    <w:rsid w:val="00EA7650"/>
    <w:rsid w:val="00F15FE9"/>
    <w:rsid w:val="00F44C2F"/>
    <w:rsid w:val="00F56544"/>
    <w:rsid w:val="00FA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429"/>
    <w:pPr>
      <w:spacing w:after="200" w:line="276" w:lineRule="auto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0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3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50E"/>
    <w:pPr>
      <w:ind w:left="720"/>
      <w:contextualSpacing/>
    </w:pPr>
    <w:rPr>
      <w:lang w:val="de-AT"/>
    </w:rPr>
  </w:style>
  <w:style w:type="paragraph" w:styleId="TOCHeading">
    <w:name w:val="TOC Heading"/>
    <w:basedOn w:val="Heading1"/>
    <w:next w:val="Normal"/>
    <w:uiPriority w:val="39"/>
    <w:qFormat/>
    <w:rsid w:val="005E350E"/>
    <w:pPr>
      <w:outlineLvl w:val="9"/>
    </w:pPr>
    <w:rPr>
      <w:lang w:val="de-DE"/>
    </w:rPr>
  </w:style>
  <w:style w:type="paragraph" w:styleId="CommentText">
    <w:name w:val="annotation text"/>
    <w:basedOn w:val="Normal"/>
    <w:link w:val="CommentTextChar"/>
    <w:uiPriority w:val="99"/>
    <w:semiHidden/>
    <w:rsid w:val="00B56429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29"/>
    <w:rPr>
      <w:rFonts w:ascii="Calibri" w:eastAsia="Calibri" w:hAnsi="Calibri" w:cs="Times New Roman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5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29"/>
    <w:rPr>
      <w:rFonts w:ascii="Calibri" w:eastAsia="Calibri" w:hAnsi="Calibri"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56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429"/>
    <w:rPr>
      <w:rFonts w:ascii="Calibri" w:eastAsia="Calibri" w:hAnsi="Calibri" w:cs="Arial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B56429"/>
    <w:rPr>
      <w:rFonts w:cs="Times New Roman"/>
      <w:vertAlign w:val="superscript"/>
    </w:rPr>
  </w:style>
  <w:style w:type="character" w:customStyle="1" w:styleId="smalldictentry">
    <w:name w:val="smalldictentry"/>
    <w:basedOn w:val="DefaultParagraphFont"/>
    <w:rsid w:val="00A845FC"/>
  </w:style>
  <w:style w:type="character" w:customStyle="1" w:styleId="word">
    <w:name w:val="word"/>
    <w:basedOn w:val="DefaultParagraphFont"/>
    <w:rsid w:val="00A845FC"/>
  </w:style>
  <w:style w:type="character" w:styleId="CommentReference">
    <w:name w:val="annotation reference"/>
    <w:basedOn w:val="DefaultParagraphFont"/>
    <w:semiHidden/>
    <w:rsid w:val="009B7C2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7C29"/>
    <w:pPr>
      <w:spacing w:line="276" w:lineRule="auto"/>
    </w:pPr>
    <w:rPr>
      <w:rFonts w:cs="Arial"/>
      <w:b/>
      <w:bCs/>
      <w:lang w:val="fr-FR"/>
    </w:rPr>
  </w:style>
  <w:style w:type="paragraph" w:styleId="BalloonText">
    <w:name w:val="Balloon Text"/>
    <w:basedOn w:val="Normal"/>
    <w:semiHidden/>
    <w:rsid w:val="009B7C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8F7"/>
    <w:rPr>
      <w:sz w:val="22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429"/>
    <w:pPr>
      <w:spacing w:after="200" w:line="276" w:lineRule="auto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0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E35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5E350E"/>
    <w:pPr>
      <w:ind w:left="720"/>
      <w:contextualSpacing/>
    </w:pPr>
    <w:rPr>
      <w:lang w:val="de-AT"/>
    </w:rPr>
  </w:style>
  <w:style w:type="paragraph" w:styleId="TOCHeading">
    <w:name w:val="TOC Heading"/>
    <w:basedOn w:val="Heading1"/>
    <w:next w:val="Normal"/>
    <w:uiPriority w:val="39"/>
    <w:qFormat/>
    <w:rsid w:val="005E350E"/>
    <w:pPr>
      <w:outlineLvl w:val="9"/>
    </w:pPr>
    <w:rPr>
      <w:lang w:val="de-DE"/>
    </w:rPr>
  </w:style>
  <w:style w:type="paragraph" w:styleId="CommentText">
    <w:name w:val="annotation text"/>
    <w:basedOn w:val="Normal"/>
    <w:link w:val="CommentTextChar"/>
    <w:uiPriority w:val="99"/>
    <w:semiHidden/>
    <w:rsid w:val="00B56429"/>
    <w:pPr>
      <w:spacing w:line="240" w:lineRule="auto"/>
    </w:pPr>
    <w:rPr>
      <w:rFonts w:cs="Times New Roman"/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29"/>
    <w:rPr>
      <w:rFonts w:ascii="Calibri" w:eastAsia="Calibri" w:hAnsi="Calibri" w:cs="Times New Roman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56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429"/>
    <w:rPr>
      <w:rFonts w:ascii="Calibri" w:eastAsia="Calibri" w:hAnsi="Calibri" w:cs="Arial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B564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429"/>
    <w:rPr>
      <w:rFonts w:ascii="Calibri" w:eastAsia="Calibri" w:hAnsi="Calibri" w:cs="Arial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B56429"/>
    <w:rPr>
      <w:rFonts w:cs="Times New Roman"/>
      <w:vertAlign w:val="superscript"/>
    </w:rPr>
  </w:style>
  <w:style w:type="character" w:customStyle="1" w:styleId="smalldictentry">
    <w:name w:val="smalldictentry"/>
    <w:basedOn w:val="DefaultParagraphFont"/>
    <w:rsid w:val="00A845FC"/>
  </w:style>
  <w:style w:type="character" w:customStyle="1" w:styleId="word">
    <w:name w:val="word"/>
    <w:basedOn w:val="DefaultParagraphFont"/>
    <w:rsid w:val="00A845FC"/>
  </w:style>
  <w:style w:type="character" w:styleId="CommentReference">
    <w:name w:val="annotation reference"/>
    <w:basedOn w:val="DefaultParagraphFont"/>
    <w:semiHidden/>
    <w:rsid w:val="009B7C2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B7C29"/>
    <w:pPr>
      <w:spacing w:line="276" w:lineRule="auto"/>
    </w:pPr>
    <w:rPr>
      <w:rFonts w:cs="Arial"/>
      <w:b/>
      <w:bCs/>
      <w:lang w:val="fr-FR"/>
    </w:rPr>
  </w:style>
  <w:style w:type="paragraph" w:styleId="BalloonText">
    <w:name w:val="Balloon Text"/>
    <w:basedOn w:val="Normal"/>
    <w:semiHidden/>
    <w:rsid w:val="009B7C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78F7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Sandra E</dc:creator>
  <cp:lastModifiedBy>Kajsa Berg</cp:lastModifiedBy>
  <cp:revision>2</cp:revision>
  <dcterms:created xsi:type="dcterms:W3CDTF">2013-09-10T14:57:00Z</dcterms:created>
  <dcterms:modified xsi:type="dcterms:W3CDTF">2013-09-10T14:57:00Z</dcterms:modified>
</cp:coreProperties>
</file>