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
        <w:gridCol w:w="2259"/>
        <w:gridCol w:w="3037"/>
        <w:gridCol w:w="3733"/>
      </w:tblGrid>
      <w:tr w:rsidR="00996C36" w:rsidTr="00724DE0">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EF3AFF" w:rsidRDefault="00EF3AFF" w:rsidP="00EF3AFF">
            <w:pPr>
              <w:snapToGrid w:val="0"/>
              <w:spacing w:after="0" w:line="100" w:lineRule="atLeast"/>
              <w:rPr>
                <w:rFonts w:cs="Calibri"/>
                <w:b/>
              </w:rPr>
            </w:pPr>
            <w:proofErr w:type="spellStart"/>
            <w:r>
              <w:rPr>
                <w:rFonts w:cs="Calibri"/>
                <w:b/>
              </w:rPr>
              <w:t>Third</w:t>
            </w:r>
            <w:proofErr w:type="spellEnd"/>
            <w:r>
              <w:rPr>
                <w:rFonts w:cs="Calibri"/>
                <w:b/>
              </w:rPr>
              <w:t xml:space="preserve"> country </w:t>
            </w:r>
            <w:proofErr w:type="spellStart"/>
            <w:r>
              <w:rPr>
                <w:rFonts w:cs="Calibri"/>
                <w:b/>
              </w:rPr>
              <w:t>transfers</w:t>
            </w:r>
            <w:proofErr w:type="spellEnd"/>
          </w:p>
          <w:p w:rsidR="00EF3AFF" w:rsidRDefault="00EF3AFF" w:rsidP="00EF3AFF">
            <w:pPr>
              <w:spacing w:after="0" w:line="100" w:lineRule="atLeast"/>
              <w:rPr>
                <w:rFonts w:cs="Calibri"/>
                <w:b/>
              </w:rPr>
            </w:pPr>
            <w:r>
              <w:rPr>
                <w:rFonts w:cs="Calibri"/>
                <w:b/>
              </w:rPr>
              <w:t xml:space="preserve">Access to </w:t>
            </w:r>
            <w:proofErr w:type="spellStart"/>
            <w:r>
              <w:rPr>
                <w:rFonts w:cs="Calibri"/>
                <w:b/>
              </w:rPr>
              <w:t>asylum</w:t>
            </w:r>
            <w:proofErr w:type="spellEnd"/>
            <w:r>
              <w:rPr>
                <w:rFonts w:cs="Calibri"/>
                <w:b/>
              </w:rPr>
              <w:t xml:space="preserve"> </w:t>
            </w:r>
            <w:proofErr w:type="spellStart"/>
            <w:r>
              <w:rPr>
                <w:rFonts w:cs="Calibri"/>
                <w:b/>
              </w:rPr>
              <w:t>procedure</w:t>
            </w:r>
            <w:proofErr w:type="spellEnd"/>
          </w:p>
          <w:p w:rsidR="00EF3AFF" w:rsidRDefault="00EF3AFF" w:rsidP="00EF3AFF">
            <w:pPr>
              <w:spacing w:after="0" w:line="100" w:lineRule="atLeast"/>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state</w:t>
            </w:r>
          </w:p>
          <w:p w:rsidR="00996C36" w:rsidRDefault="00EF3AFF" w:rsidP="00EF3AFF">
            <w:pPr>
              <w:spacing w:after="0" w:line="240" w:lineRule="auto"/>
              <w:rPr>
                <w:rFonts w:cs="Calibri"/>
                <w:b/>
              </w:rPr>
            </w:pPr>
            <w:r>
              <w:rPr>
                <w:rFonts w:cs="Calibri"/>
                <w:b/>
              </w:rPr>
              <w:t xml:space="preserve">Proof / </w:t>
            </w:r>
            <w:proofErr w:type="spellStart"/>
            <w:r>
              <w:rPr>
                <w:rFonts w:cs="Calibri"/>
                <w:b/>
              </w:rPr>
              <w:t>evidence</w:t>
            </w:r>
            <w:proofErr w:type="spellEnd"/>
          </w:p>
        </w:tc>
      </w:tr>
      <w:tr w:rsidR="00996C36" w:rsidTr="00724DE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724DE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EF3AFF">
            <w:pPr>
              <w:spacing w:after="0" w:line="240" w:lineRule="auto"/>
              <w:rPr>
                <w:rFonts w:cs="Calibri"/>
                <w:b/>
                <w:lang w:val="en-US"/>
              </w:rPr>
            </w:pPr>
            <w:r>
              <w:rPr>
                <w:rFonts w:cs="Calibri"/>
                <w:b/>
                <w:lang w:val="en-US"/>
              </w:rPr>
              <w:t>Hungary</w:t>
            </w:r>
          </w:p>
        </w:tc>
      </w:tr>
      <w:tr w:rsid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nl-NL"/>
              </w:rPr>
            </w:pPr>
            <w:r>
              <w:rPr>
                <w:rFonts w:cs="Calibri"/>
                <w:b/>
                <w:lang w:val="nl-NL"/>
              </w:rPr>
              <w:t>Asylum Court</w:t>
            </w:r>
          </w:p>
        </w:tc>
      </w:tr>
      <w:tr w:rsid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F3AFF" w:rsidP="00724DE0">
            <w:pPr>
              <w:spacing w:after="0" w:line="240" w:lineRule="auto"/>
              <w:rPr>
                <w:rFonts w:cs="Calibri"/>
                <w:b/>
                <w:lang w:val="en-GB"/>
              </w:rPr>
            </w:pPr>
            <w:r>
              <w:rPr>
                <w:rFonts w:cs="Calibri"/>
                <w:b/>
                <w:lang w:val="en-GB"/>
              </w:rPr>
              <w:t>S1 424.244-1/2012/3E</w:t>
            </w:r>
            <w:bookmarkStart w:id="0" w:name="_GoBack"/>
            <w:r w:rsidR="00D65804">
              <w:rPr>
                <w:rFonts w:cs="Calibri"/>
                <w:b/>
                <w:lang w:val="en-GB"/>
              </w:rPr>
              <w:br/>
            </w:r>
            <w:r w:rsidR="00D65804" w:rsidRPr="00D65804">
              <w:rPr>
                <w:rFonts w:cs="Calibri"/>
                <w:lang w:val="en-US"/>
              </w:rPr>
              <w:t>http://www.ris.bka.gv.at/Dokument.wxe?Abfrage=AsylGH&amp;Dokumentnummer=ASYLGHT_20120207_S1_424_244_1_2012_00</w:t>
            </w:r>
            <w:bookmarkEnd w:id="0"/>
          </w:p>
        </w:tc>
      </w:tr>
      <w:tr w:rsidR="00996C36" w:rsidRP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F3AFF">
            <w:pPr>
              <w:spacing w:after="0" w:line="240" w:lineRule="auto"/>
              <w:rPr>
                <w:rFonts w:cs="Calibri"/>
                <w:b/>
                <w:lang w:val="en-US"/>
              </w:rPr>
            </w:pPr>
            <w:r>
              <w:rPr>
                <w:rFonts w:cs="Calibri"/>
                <w:b/>
                <w:lang w:val="en-US"/>
              </w:rPr>
              <w:t>07.02.2012</w:t>
            </w:r>
          </w:p>
        </w:tc>
      </w:tr>
      <w:tr w:rsid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F3AFF">
            <w:pPr>
              <w:spacing w:after="0" w:line="240" w:lineRule="auto"/>
              <w:rPr>
                <w:rFonts w:cs="Calibri"/>
                <w:bCs/>
              </w:rPr>
            </w:pPr>
            <w:r>
              <w:rPr>
                <w:rFonts w:cs="Calibri"/>
                <w:bCs/>
              </w:rPr>
              <w:t>Pakistan</w:t>
            </w:r>
          </w:p>
        </w:tc>
      </w:tr>
      <w:tr w:rsid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724DE0">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EF3AFF" w:rsidRPr="00EF3AFF" w:rsidRDefault="00EF3AFF" w:rsidP="00EF3AFF">
            <w:pPr>
              <w:snapToGrid w:val="0"/>
              <w:spacing w:after="0" w:line="100" w:lineRule="atLeast"/>
              <w:jc w:val="both"/>
              <w:rPr>
                <w:rFonts w:cs="Calibri"/>
                <w:b/>
                <w:lang w:val="nl-NL"/>
              </w:rPr>
            </w:pPr>
            <w:r w:rsidRPr="00EF3AFF">
              <w:rPr>
                <w:rFonts w:cs="Calibri"/>
                <w:b/>
                <w:lang w:val="nl-NL"/>
              </w:rPr>
              <w:t>The applicant applied for asylum in November 2011. He said he came to Europe via Iran, Turkey and Greece, where he stayed for one year. He then crossed the border to Macedonia and Serbia, then came to Hungary where he did not apply for asylum and finally came to Austria. Austria consulted Hungary and it agreed to take him back.</w:t>
            </w:r>
          </w:p>
          <w:p w:rsidR="00EF3AFF" w:rsidRPr="00EF3AFF" w:rsidRDefault="00EF3AFF" w:rsidP="00EF3AFF">
            <w:pPr>
              <w:spacing w:after="0" w:line="100" w:lineRule="atLeast"/>
              <w:jc w:val="both"/>
              <w:rPr>
                <w:rFonts w:cs="Calibri"/>
                <w:b/>
                <w:lang w:val="nl-NL"/>
              </w:rPr>
            </w:pPr>
            <w:r w:rsidRPr="00EF3AFF">
              <w:rPr>
                <w:rFonts w:cs="Calibri"/>
                <w:b/>
                <w:lang w:val="nl-NL"/>
              </w:rPr>
              <w:t xml:space="preserve">He did not know anything about Hungary, but in Serbia he </w:t>
            </w:r>
            <w:r w:rsidRPr="00EF3AFF">
              <w:rPr>
                <w:rFonts w:cs="Calibri"/>
                <w:b/>
                <w:lang w:val="en-US"/>
              </w:rPr>
              <w:t xml:space="preserve">had </w:t>
            </w:r>
            <w:r w:rsidRPr="00EF3AFF">
              <w:rPr>
                <w:rFonts w:cs="Calibri"/>
                <w:b/>
                <w:lang w:val="nl-NL"/>
              </w:rPr>
              <w:t xml:space="preserve">met people who told him they </w:t>
            </w:r>
            <w:r w:rsidRPr="00EF3AFF">
              <w:rPr>
                <w:rFonts w:cs="Calibri"/>
                <w:b/>
                <w:lang w:val="en-US"/>
              </w:rPr>
              <w:t xml:space="preserve">were </w:t>
            </w:r>
            <w:r w:rsidRPr="00EF3AFF">
              <w:rPr>
                <w:rFonts w:cs="Calibri"/>
                <w:b/>
                <w:lang w:val="nl-NL"/>
              </w:rPr>
              <w:t>deported from Austria to Hungary and back to Serbia.</w:t>
            </w:r>
          </w:p>
          <w:p w:rsidR="00996C36" w:rsidRDefault="00EF3AFF" w:rsidP="00724921">
            <w:pPr>
              <w:spacing w:after="0" w:line="240" w:lineRule="auto"/>
              <w:jc w:val="both"/>
              <w:rPr>
                <w:rFonts w:cs="Calibri"/>
                <w:b/>
                <w:lang w:val="nl-NL"/>
              </w:rPr>
            </w:pPr>
            <w:r w:rsidRPr="00EF3AFF">
              <w:rPr>
                <w:rFonts w:cs="Calibri"/>
                <w:b/>
                <w:lang w:val="nl-NL"/>
              </w:rPr>
              <w:t>The Federal Asylum Office rejected his application and issued an expulsion order to Hungary. The claimant appealed against this decision to the Asylum Court.</w:t>
            </w:r>
          </w:p>
        </w:tc>
      </w:tr>
      <w:tr w:rsidR="00996C36" w:rsidTr="00724DE0">
        <w:trPr>
          <w:trHeight w:val="385"/>
        </w:trPr>
        <w:tc>
          <w:tcPr>
            <w:tcW w:w="43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724DE0">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EF3AFF" w:rsidRPr="00B65C1D" w:rsidRDefault="00EF3AFF" w:rsidP="00EF3AFF">
            <w:pPr>
              <w:snapToGrid w:val="0"/>
              <w:spacing w:after="0" w:line="100" w:lineRule="atLeast"/>
              <w:jc w:val="both"/>
              <w:rPr>
                <w:rFonts w:cs="Calibri"/>
                <w:b/>
                <w:lang w:val="nl-NL"/>
              </w:rPr>
            </w:pPr>
            <w:r w:rsidRPr="00B65C1D">
              <w:rPr>
                <w:rFonts w:cs="Calibri"/>
                <w:b/>
                <w:lang w:val="nl-NL"/>
              </w:rPr>
              <w:t>The Asylum Court accepted the appeal and returned the case to the Federal Asylum Office for further questioning.</w:t>
            </w:r>
          </w:p>
          <w:p w:rsidR="00EF3AFF" w:rsidRPr="00B65C1D" w:rsidRDefault="00EF3AFF" w:rsidP="00EF3AFF">
            <w:pPr>
              <w:spacing w:after="0" w:line="100" w:lineRule="atLeast"/>
              <w:jc w:val="both"/>
              <w:rPr>
                <w:rFonts w:cs="Calibri"/>
                <w:b/>
                <w:lang w:val="nl-NL"/>
              </w:rPr>
            </w:pPr>
            <w:r w:rsidRPr="00B65C1D">
              <w:rPr>
                <w:rFonts w:cs="Calibri"/>
                <w:b/>
                <w:lang w:val="nl-NL"/>
              </w:rPr>
              <w:t>The Asylum Court said the Dublin consultations were led correctly: He stated that he had travelled through the woods of Subbotica, which are close to the Hungarian border with Serbia. It is known that asylum seekers often take this route to come to Austria and during his first interview he had already said he passed Hungary. Thus, it seemed clear that he must have traversed Hungary, which would then be responsible for his asylum procedure.</w:t>
            </w:r>
          </w:p>
          <w:p w:rsidR="00EF3AFF" w:rsidRPr="00B65C1D" w:rsidRDefault="00EF3AFF" w:rsidP="00EF3AFF">
            <w:pPr>
              <w:spacing w:after="0" w:line="100" w:lineRule="atLeast"/>
              <w:jc w:val="both"/>
              <w:rPr>
                <w:rFonts w:cs="Calibri"/>
                <w:b/>
                <w:lang w:val="nl-NL"/>
              </w:rPr>
            </w:pPr>
            <w:r w:rsidRPr="00B65C1D">
              <w:rPr>
                <w:rFonts w:cs="Calibri"/>
                <w:b/>
                <w:lang w:val="nl-NL"/>
              </w:rPr>
              <w:t xml:space="preserve">In its decision, the Federal Asylum Office assured him that he would have a procedure in merits in Hungary. In principle, the Asylum Court agreed with the decision and said that due to EU law it can be assumed that Hungary is a safe country for asylum seekers. It claims that there are no internal failures in the Hungarian asylum system, wherefore the potential risk of a violation of Article 3 ECHR due to COI can be ruled out. </w:t>
            </w:r>
          </w:p>
          <w:p w:rsidR="00EF3AFF" w:rsidRPr="00B65C1D" w:rsidRDefault="00EF3AFF" w:rsidP="00EF3AFF">
            <w:pPr>
              <w:spacing w:after="0" w:line="100" w:lineRule="atLeast"/>
              <w:jc w:val="both"/>
              <w:rPr>
                <w:rFonts w:cs="Calibri"/>
                <w:b/>
                <w:lang w:val="nl-NL"/>
              </w:rPr>
            </w:pPr>
            <w:r w:rsidRPr="00B65C1D">
              <w:rPr>
                <w:rFonts w:cs="Calibri"/>
                <w:b/>
                <w:lang w:val="nl-NL"/>
              </w:rPr>
              <w:t>However, in t</w:t>
            </w:r>
            <w:r w:rsidR="00724921">
              <w:rPr>
                <w:rFonts w:cs="Calibri"/>
                <w:b/>
                <w:lang w:val="nl-NL"/>
              </w:rPr>
              <w:t xml:space="preserve">his case, </w:t>
            </w:r>
            <w:r w:rsidRPr="00B65C1D">
              <w:rPr>
                <w:rFonts w:cs="Calibri"/>
                <w:b/>
                <w:lang w:val="nl-NL"/>
              </w:rPr>
              <w:t xml:space="preserve">the applicant stated to have met persons who had been deported from Hungary directly to Serbia after their deportation from Austria. The Federal Asylum Office did not ask him any further questions regarding this point, but claimed that he would “surely” have a procedure in merits in Hungary – although even the </w:t>
            </w:r>
            <w:r w:rsidRPr="00B65C1D">
              <w:rPr>
                <w:rFonts w:cs="Calibri"/>
                <w:b/>
                <w:lang w:val="nl-NL"/>
              </w:rPr>
              <w:lastRenderedPageBreak/>
              <w:t>country reports say that Hungary sees Serbia as a safe country.</w:t>
            </w:r>
          </w:p>
          <w:p w:rsidR="00996C36" w:rsidRDefault="00EF3AFF" w:rsidP="00724DE0">
            <w:pPr>
              <w:spacing w:after="0" w:line="240" w:lineRule="auto"/>
              <w:jc w:val="both"/>
              <w:rPr>
                <w:rFonts w:cs="Calibri"/>
                <w:b/>
                <w:lang w:val="nl-NL"/>
              </w:rPr>
            </w:pPr>
            <w:r w:rsidRPr="00B65C1D">
              <w:rPr>
                <w:rFonts w:cs="Calibri"/>
                <w:b/>
                <w:lang w:val="nl-NL"/>
              </w:rPr>
              <w:t>Due to the above facts, a violation of Art 3 ECHR is possible in this particular case and the Federal Asylum Office has to make further examinations concerning the risk of a chain refoulement from Hungary to Serbia.</w:t>
            </w:r>
          </w:p>
        </w:tc>
      </w:tr>
      <w:tr w:rsidR="00996C36" w:rsidRPr="00996C36" w:rsidTr="00724DE0">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724DE0">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724DE0">
        <w:trPr>
          <w:trHeight w:val="32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EF3AFF" w:rsidRDefault="00EF3AFF" w:rsidP="00EF3AFF">
            <w:pPr>
              <w:snapToGrid w:val="0"/>
              <w:spacing w:after="0" w:line="100" w:lineRule="atLeast"/>
              <w:jc w:val="both"/>
              <w:rPr>
                <w:rFonts w:cs="Calibri"/>
                <w:bCs/>
                <w:lang w:val="nl-NL"/>
              </w:rPr>
            </w:pPr>
            <w:r>
              <w:rPr>
                <w:rFonts w:cs="Calibri"/>
                <w:bCs/>
                <w:lang w:val="nl-NL"/>
              </w:rPr>
              <w:t xml:space="preserve">The case was returned to the Federal Asylum Office for further investigations concerning the risk of a chain refoulement from Hungary to Serbia. </w:t>
            </w:r>
          </w:p>
          <w:p w:rsidR="00996C36" w:rsidRDefault="00EF3AFF" w:rsidP="00EF3AFF">
            <w:pPr>
              <w:spacing w:after="0" w:line="240" w:lineRule="auto"/>
              <w:jc w:val="both"/>
              <w:rPr>
                <w:rFonts w:cs="Calibri"/>
                <w:bCs/>
                <w:lang w:val="nl-NL"/>
              </w:rPr>
            </w:pPr>
            <w:r>
              <w:rPr>
                <w:rFonts w:cs="Calibri"/>
                <w:bCs/>
                <w:lang w:val="nl-NL"/>
              </w:rPr>
              <w:t xml:space="preserve">Another inadmissibility decision by the Federal Asylum Office followed. The applicant appealed against it once </w:t>
            </w:r>
            <w:r w:rsidRPr="00EF3AFF">
              <w:rPr>
                <w:rFonts w:cs="Calibri"/>
                <w:bCs/>
                <w:lang w:val="nl-NL"/>
              </w:rPr>
              <w:t>more but no final decision has been reached so far.</w:t>
            </w:r>
            <w:r>
              <w:rPr>
                <w:rFonts w:cs="Calibri"/>
                <w:bCs/>
                <w:lang w:val="nl-NL"/>
              </w:rPr>
              <w:t xml:space="preserve"> The applicant absconded and the asylum procedure was terminated.</w:t>
            </w:r>
          </w:p>
        </w:tc>
      </w:tr>
      <w:tr w:rsidR="00996C36" w:rsidTr="00724DE0">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rsidP="00AB7286">
            <w:pPr>
              <w:spacing w:after="0" w:line="240" w:lineRule="auto"/>
              <w:jc w:val="both"/>
              <w:rPr>
                <w:rFonts w:cs="Calibri"/>
                <w:b/>
                <w:lang w:val="nl-NL"/>
              </w:rPr>
            </w:pPr>
          </w:p>
        </w:tc>
      </w:tr>
      <w:tr w:rsidR="00996C36" w:rsidRPr="00996C36" w:rsidTr="00724DE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rsidP="00EF3AFF">
            <w:pPr>
              <w:spacing w:after="0" w:line="240" w:lineRule="auto"/>
              <w:rPr>
                <w:rFonts w:cs="Calibri"/>
                <w:b/>
                <w:lang w:val="en-US"/>
              </w:rPr>
            </w:pPr>
            <w:r>
              <w:rPr>
                <w:rFonts w:cs="Calibri"/>
                <w:b/>
                <w:lang w:val="en-US"/>
              </w:rPr>
              <w:t xml:space="preserve">Art </w:t>
            </w:r>
            <w:r w:rsidR="00EF3AFF">
              <w:rPr>
                <w:rFonts w:cs="Calibri"/>
                <w:b/>
                <w:lang w:val="en-US"/>
              </w:rPr>
              <w:t>10</w:t>
            </w:r>
          </w:p>
        </w:tc>
      </w:tr>
      <w:tr w:rsidR="00996C36" w:rsidTr="00724DE0">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724DE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AB7286">
            <w:pPr>
              <w:spacing w:after="0" w:line="240" w:lineRule="auto"/>
              <w:rPr>
                <w:rFonts w:cs="Calibri"/>
                <w:bCs/>
                <w:lang w:val="en-US"/>
              </w:rPr>
            </w:pPr>
            <w:r>
              <w:rPr>
                <w:rFonts w:cs="Calibri"/>
                <w:bCs/>
                <w:lang w:val="en-US"/>
              </w:rPr>
              <w:t>ECHR</w:t>
            </w:r>
          </w:p>
        </w:tc>
        <w:tc>
          <w:tcPr>
            <w:tcW w:w="3733" w:type="dxa"/>
            <w:tcBorders>
              <w:top w:val="single" w:sz="4" w:space="0" w:color="000000"/>
              <w:left w:val="dashed" w:sz="4" w:space="0" w:color="auto"/>
              <w:bottom w:val="dashed" w:sz="4" w:space="0" w:color="auto"/>
              <w:right w:val="single" w:sz="4" w:space="0" w:color="000000"/>
            </w:tcBorders>
          </w:tcPr>
          <w:p w:rsidR="00996C36" w:rsidRDefault="00AB7286">
            <w:pPr>
              <w:spacing w:after="0" w:line="240" w:lineRule="auto"/>
              <w:rPr>
                <w:rFonts w:cs="Calibri"/>
                <w:bCs/>
                <w:lang w:val="en-US"/>
              </w:rPr>
            </w:pPr>
            <w:r>
              <w:rPr>
                <w:rFonts w:cs="Calibri"/>
                <w:bCs/>
                <w:lang w:val="en-US"/>
              </w:rPr>
              <w:t>Art 3</w:t>
            </w:r>
          </w:p>
        </w:tc>
      </w:tr>
      <w:tr w:rsidR="00996C36" w:rsidTr="00724DE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AB7286">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33" w:type="dxa"/>
            <w:tcBorders>
              <w:top w:val="dashed" w:sz="4" w:space="0" w:color="auto"/>
              <w:left w:val="dashed" w:sz="4" w:space="0" w:color="auto"/>
              <w:bottom w:val="single" w:sz="4" w:space="0" w:color="000000"/>
              <w:right w:val="single" w:sz="4" w:space="0" w:color="000000"/>
            </w:tcBorders>
          </w:tcPr>
          <w:p w:rsidR="00996C36" w:rsidRDefault="00AB7286">
            <w:pPr>
              <w:spacing w:after="0" w:line="240" w:lineRule="auto"/>
              <w:rPr>
                <w:rFonts w:cs="Calibri"/>
                <w:bCs/>
                <w:lang w:val="en-US"/>
              </w:rPr>
            </w:pPr>
            <w:r>
              <w:rPr>
                <w:rFonts w:cs="Calibri"/>
                <w:bCs/>
                <w:lang w:val="en-US"/>
              </w:rPr>
              <w:t>§§ 5, 10; § 41 (3)</w:t>
            </w:r>
          </w:p>
        </w:tc>
      </w:tr>
      <w:tr w:rsidR="00996C36" w:rsidTr="00724DE0">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724DE0">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EF3AFF">
            <w:pPr>
              <w:spacing w:after="0" w:line="240" w:lineRule="auto"/>
              <w:rPr>
                <w:rFonts w:cs="Calibri"/>
                <w:bCs/>
              </w:rPr>
            </w:pPr>
            <w:r>
              <w:rPr>
                <w:rFonts w:cs="Calibri"/>
                <w:bCs/>
              </w:rPr>
              <w:t>ECJ</w:t>
            </w:r>
          </w:p>
        </w:tc>
        <w:tc>
          <w:tcPr>
            <w:tcW w:w="3733" w:type="dxa"/>
            <w:tcBorders>
              <w:top w:val="single" w:sz="4" w:space="0" w:color="000000"/>
              <w:left w:val="dashed" w:sz="4" w:space="0" w:color="auto"/>
              <w:bottom w:val="dashed" w:sz="4" w:space="0" w:color="auto"/>
              <w:right w:val="single" w:sz="4" w:space="0" w:color="000000"/>
            </w:tcBorders>
          </w:tcPr>
          <w:p w:rsidR="00996C36" w:rsidRDefault="00EF3AFF">
            <w:pPr>
              <w:spacing w:after="0" w:line="240" w:lineRule="auto"/>
              <w:rPr>
                <w:rFonts w:cs="Calibri"/>
                <w:bCs/>
              </w:rPr>
            </w:pPr>
            <w:r>
              <w:rPr>
                <w:rFonts w:cs="Calibri"/>
                <w:bCs/>
              </w:rPr>
              <w:t>C-411/10 ; C-439/10</w:t>
            </w:r>
          </w:p>
        </w:tc>
      </w:tr>
      <w:tr w:rsidR="00996C36" w:rsidTr="00724DE0">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EF3AFF">
            <w:pPr>
              <w:spacing w:after="0" w:line="240" w:lineRule="auto"/>
              <w:rPr>
                <w:rFonts w:cs="Calibri"/>
                <w:bCs/>
              </w:rPr>
            </w:pPr>
            <w:r>
              <w:rPr>
                <w:rFonts w:cs="Calibri"/>
                <w:bCs/>
              </w:rPr>
              <w:t>ECHR</w:t>
            </w:r>
          </w:p>
        </w:tc>
        <w:tc>
          <w:tcPr>
            <w:tcW w:w="3733" w:type="dxa"/>
            <w:tcBorders>
              <w:top w:val="dashed" w:sz="4" w:space="0" w:color="auto"/>
              <w:left w:val="dashed" w:sz="4" w:space="0" w:color="auto"/>
              <w:bottom w:val="single" w:sz="4" w:space="0" w:color="000000"/>
              <w:right w:val="single" w:sz="4" w:space="0" w:color="000000"/>
            </w:tcBorders>
          </w:tcPr>
          <w:p w:rsidR="00EF3AFF" w:rsidRDefault="00EF3AFF" w:rsidP="00EF3AFF">
            <w:pPr>
              <w:snapToGrid w:val="0"/>
              <w:spacing w:after="0" w:line="100" w:lineRule="atLeast"/>
              <w:rPr>
                <w:rFonts w:cs="Calibri"/>
                <w:bCs/>
              </w:rPr>
            </w:pPr>
            <w:r>
              <w:rPr>
                <w:rFonts w:cs="Calibri"/>
                <w:bCs/>
              </w:rPr>
              <w:t>K.R.S., 32733/08</w:t>
            </w:r>
          </w:p>
          <w:p w:rsidR="00EF3AFF" w:rsidRDefault="00EF3AFF" w:rsidP="00EF3AFF">
            <w:pPr>
              <w:spacing w:after="0" w:line="100" w:lineRule="atLeast"/>
              <w:rPr>
                <w:rFonts w:cs="Calibri"/>
                <w:bCs/>
              </w:rPr>
            </w:pPr>
            <w:r>
              <w:rPr>
                <w:rFonts w:cs="Calibri"/>
                <w:bCs/>
              </w:rPr>
              <w:t xml:space="preserve">M.S.S. vs </w:t>
            </w:r>
            <w:proofErr w:type="spellStart"/>
            <w:r>
              <w:rPr>
                <w:rFonts w:cs="Calibri"/>
                <w:bCs/>
              </w:rPr>
              <w:t>Belgium</w:t>
            </w:r>
            <w:proofErr w:type="spellEnd"/>
            <w:r>
              <w:rPr>
                <w:rFonts w:cs="Calibri"/>
                <w:bCs/>
              </w:rPr>
              <w:t xml:space="preserve"> and </w:t>
            </w:r>
            <w:proofErr w:type="spellStart"/>
            <w:r>
              <w:rPr>
                <w:rFonts w:cs="Calibri"/>
                <w:bCs/>
              </w:rPr>
              <w:t>Greece</w:t>
            </w:r>
            <w:proofErr w:type="spellEnd"/>
            <w:r>
              <w:rPr>
                <w:rFonts w:cs="Calibri"/>
                <w:bCs/>
              </w:rPr>
              <w:t>, 30696/09</w:t>
            </w:r>
          </w:p>
          <w:p w:rsidR="00996C36" w:rsidRDefault="00EF3AFF" w:rsidP="00EF3AFF">
            <w:pPr>
              <w:spacing w:after="0" w:line="240" w:lineRule="auto"/>
              <w:rPr>
                <w:rFonts w:cs="Calibri"/>
                <w:bCs/>
              </w:rPr>
            </w:pPr>
            <w:r w:rsidRPr="00EF3AFF">
              <w:rPr>
                <w:rFonts w:cs="Calibri"/>
                <w:bCs/>
                <w:lang w:val="en-US"/>
              </w:rPr>
              <w:t>Bosporus</w:t>
            </w:r>
            <w:r>
              <w:rPr>
                <w:rFonts w:cs="Calibri"/>
                <w:bCs/>
              </w:rPr>
              <w:t xml:space="preserve"> Airlines vs. Ireland, 45036/98</w:t>
            </w:r>
          </w:p>
        </w:tc>
      </w:tr>
      <w:tr w:rsidR="00996C36" w:rsidTr="00724DE0">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EF3AFF" w:rsidTr="00724DE0">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F3AFF" w:rsidRDefault="00EF3AFF">
            <w:pPr>
              <w:spacing w:after="0" w:line="240" w:lineRule="auto"/>
              <w:rPr>
                <w:rFonts w:cs="Calibri"/>
                <w:bCs/>
              </w:rPr>
            </w:pPr>
          </w:p>
        </w:tc>
        <w:tc>
          <w:tcPr>
            <w:tcW w:w="3037" w:type="dxa"/>
            <w:tcBorders>
              <w:top w:val="single" w:sz="4" w:space="0" w:color="000000"/>
              <w:left w:val="single" w:sz="4" w:space="0" w:color="000000"/>
              <w:bottom w:val="dashed" w:sz="4" w:space="0" w:color="auto"/>
              <w:right w:val="dashed" w:sz="4" w:space="0" w:color="auto"/>
            </w:tcBorders>
          </w:tcPr>
          <w:p w:rsidR="00EF3AFF" w:rsidRDefault="00EF3AFF">
            <w:pPr>
              <w:spacing w:after="0" w:line="240" w:lineRule="auto"/>
              <w:rPr>
                <w:rFonts w:cs="Calibri"/>
                <w:bCs/>
              </w:rPr>
            </w:pPr>
            <w:proofErr w:type="spellStart"/>
            <w:r>
              <w:rPr>
                <w:rFonts w:cs="Calibri"/>
                <w:bCs/>
              </w:rPr>
              <w:t>Hungarian</w:t>
            </w:r>
            <w:proofErr w:type="spellEnd"/>
            <w:r>
              <w:rPr>
                <w:rFonts w:cs="Calibri"/>
                <w:bCs/>
              </w:rPr>
              <w:t xml:space="preserve"> Helsinki </w:t>
            </w:r>
            <w:proofErr w:type="spellStart"/>
            <w:r>
              <w:rPr>
                <w:rFonts w:cs="Calibri"/>
                <w:bCs/>
              </w:rPr>
              <w:t>Commitee</w:t>
            </w:r>
            <w:proofErr w:type="spellEnd"/>
          </w:p>
        </w:tc>
        <w:tc>
          <w:tcPr>
            <w:tcW w:w="3733" w:type="dxa"/>
            <w:tcBorders>
              <w:top w:val="single" w:sz="4" w:space="0" w:color="000000"/>
              <w:left w:val="dashed" w:sz="4" w:space="0" w:color="auto"/>
              <w:bottom w:val="dashed" w:sz="4" w:space="0" w:color="auto"/>
              <w:right w:val="single" w:sz="4" w:space="0" w:color="000000"/>
            </w:tcBorders>
          </w:tcPr>
          <w:p w:rsidR="00EF3AFF" w:rsidRDefault="00EF3AFF" w:rsidP="008D0EAD">
            <w:pPr>
              <w:snapToGrid w:val="0"/>
              <w:spacing w:after="0" w:line="100" w:lineRule="atLeast"/>
              <w:rPr>
                <w:rFonts w:cs="Calibri"/>
                <w:bCs/>
              </w:rPr>
            </w:pPr>
            <w:proofErr w:type="spellStart"/>
            <w:r>
              <w:rPr>
                <w:rFonts w:cs="Calibri"/>
                <w:bCs/>
              </w:rPr>
              <w:t>Stuck</w:t>
            </w:r>
            <w:proofErr w:type="spellEnd"/>
            <w:r>
              <w:rPr>
                <w:rFonts w:cs="Calibri"/>
                <w:bCs/>
              </w:rPr>
              <w:t xml:space="preserve"> in </w:t>
            </w:r>
            <w:proofErr w:type="spellStart"/>
            <w:r>
              <w:rPr>
                <w:rFonts w:cs="Calibri"/>
                <w:bCs/>
              </w:rPr>
              <w:t>Jail</w:t>
            </w:r>
            <w:proofErr w:type="spellEnd"/>
            <w:r>
              <w:rPr>
                <w:rFonts w:cs="Calibri"/>
                <w:bCs/>
              </w:rPr>
              <w:t xml:space="preserve"> (2010)</w:t>
            </w:r>
          </w:p>
        </w:tc>
      </w:tr>
      <w:tr w:rsidR="00EF3AFF" w:rsidTr="00724DE0">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F3AFF" w:rsidRDefault="00EF3AFF">
            <w:pPr>
              <w:spacing w:after="0" w:line="240" w:lineRule="auto"/>
              <w:rPr>
                <w:rFonts w:cs="Calibri"/>
                <w:bCs/>
              </w:rPr>
            </w:pPr>
          </w:p>
        </w:tc>
        <w:tc>
          <w:tcPr>
            <w:tcW w:w="3037" w:type="dxa"/>
            <w:tcBorders>
              <w:top w:val="dashed" w:sz="4" w:space="0" w:color="auto"/>
              <w:left w:val="single" w:sz="4" w:space="0" w:color="000000"/>
              <w:bottom w:val="dashed" w:sz="4" w:space="0" w:color="auto"/>
              <w:right w:val="dashed" w:sz="4" w:space="0" w:color="auto"/>
            </w:tcBorders>
          </w:tcPr>
          <w:p w:rsidR="00EF3AFF" w:rsidRDefault="00EF3AFF" w:rsidP="008D0EAD">
            <w:pPr>
              <w:snapToGrid w:val="0"/>
              <w:spacing w:after="0" w:line="100" w:lineRule="atLeast"/>
              <w:rPr>
                <w:rFonts w:cs="Calibri"/>
              </w:rPr>
            </w:pPr>
            <w:proofErr w:type="spellStart"/>
            <w:r>
              <w:rPr>
                <w:rFonts w:cs="Calibri"/>
              </w:rPr>
              <w:t>European</w:t>
            </w:r>
            <w:proofErr w:type="spellEnd"/>
            <w:r>
              <w:rPr>
                <w:rFonts w:cs="Calibri"/>
              </w:rPr>
              <w:t xml:space="preserve"> Migration Network</w:t>
            </w:r>
          </w:p>
        </w:tc>
        <w:tc>
          <w:tcPr>
            <w:tcW w:w="3733" w:type="dxa"/>
            <w:tcBorders>
              <w:top w:val="dashed" w:sz="4" w:space="0" w:color="auto"/>
              <w:left w:val="dashed" w:sz="4" w:space="0" w:color="auto"/>
              <w:bottom w:val="dashed" w:sz="4" w:space="0" w:color="auto"/>
              <w:right w:val="single" w:sz="4" w:space="0" w:color="000000"/>
            </w:tcBorders>
          </w:tcPr>
          <w:p w:rsidR="00EF3AFF" w:rsidRDefault="00EF3AFF" w:rsidP="008D0EAD">
            <w:pPr>
              <w:snapToGrid w:val="0"/>
              <w:spacing w:after="0" w:line="100" w:lineRule="atLeast"/>
              <w:rPr>
                <w:rFonts w:cs="Calibri"/>
              </w:rPr>
            </w:pPr>
            <w:proofErr w:type="spellStart"/>
            <w:r>
              <w:rPr>
                <w:rFonts w:cs="Calibri"/>
              </w:rPr>
              <w:t>Annual</w:t>
            </w:r>
            <w:proofErr w:type="spellEnd"/>
            <w:r>
              <w:rPr>
                <w:rFonts w:cs="Calibri"/>
              </w:rPr>
              <w:t xml:space="preserve"> Policy Report 2010</w:t>
            </w:r>
          </w:p>
        </w:tc>
      </w:tr>
      <w:tr w:rsidR="00EF3AFF" w:rsidTr="00724DE0">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F3AFF" w:rsidRDefault="00EF3AFF">
            <w:pPr>
              <w:spacing w:after="0" w:line="240" w:lineRule="auto"/>
              <w:rPr>
                <w:rFonts w:cs="Calibri"/>
                <w:bCs/>
              </w:rPr>
            </w:pPr>
          </w:p>
        </w:tc>
        <w:tc>
          <w:tcPr>
            <w:tcW w:w="3037" w:type="dxa"/>
            <w:tcBorders>
              <w:top w:val="dashed" w:sz="4" w:space="0" w:color="auto"/>
              <w:left w:val="single" w:sz="4" w:space="0" w:color="000000"/>
              <w:bottom w:val="single" w:sz="4" w:space="0" w:color="000000"/>
              <w:right w:val="dashed" w:sz="4" w:space="0" w:color="auto"/>
            </w:tcBorders>
          </w:tcPr>
          <w:p w:rsidR="00EF3AFF" w:rsidRDefault="00EF3AFF" w:rsidP="008D0EAD">
            <w:pPr>
              <w:snapToGrid w:val="0"/>
              <w:spacing w:after="0" w:line="100" w:lineRule="atLeast"/>
              <w:rPr>
                <w:rFonts w:cs="Calibri"/>
              </w:rPr>
            </w:pPr>
            <w:r>
              <w:rPr>
                <w:rFonts w:cs="Calibri"/>
              </w:rPr>
              <w:t xml:space="preserve">US </w:t>
            </w:r>
            <w:proofErr w:type="spellStart"/>
            <w:r>
              <w:rPr>
                <w:rFonts w:cs="Calibri"/>
              </w:rPr>
              <w:t>Department</w:t>
            </w:r>
            <w:proofErr w:type="spellEnd"/>
            <w:r>
              <w:rPr>
                <w:rFonts w:cs="Calibri"/>
              </w:rPr>
              <w:t xml:space="preserve"> of State</w:t>
            </w:r>
          </w:p>
        </w:tc>
        <w:tc>
          <w:tcPr>
            <w:tcW w:w="3733" w:type="dxa"/>
            <w:tcBorders>
              <w:top w:val="dashed" w:sz="4" w:space="0" w:color="auto"/>
              <w:left w:val="dashed" w:sz="4" w:space="0" w:color="auto"/>
              <w:bottom w:val="single" w:sz="4" w:space="0" w:color="000000"/>
              <w:right w:val="single" w:sz="4" w:space="0" w:color="000000"/>
            </w:tcBorders>
          </w:tcPr>
          <w:p w:rsidR="00EF3AFF" w:rsidRDefault="00EF3AFF" w:rsidP="008D0EAD">
            <w:pPr>
              <w:snapToGrid w:val="0"/>
              <w:spacing w:after="0" w:line="100" w:lineRule="atLeast"/>
              <w:rPr>
                <w:rFonts w:cs="Calibri"/>
              </w:rPr>
            </w:pPr>
            <w:proofErr w:type="spellStart"/>
            <w:r>
              <w:rPr>
                <w:rFonts w:cs="Calibri"/>
              </w:rPr>
              <w:t>Human</w:t>
            </w:r>
            <w:proofErr w:type="spellEnd"/>
            <w:r>
              <w:rPr>
                <w:rFonts w:cs="Calibri"/>
              </w:rPr>
              <w:t xml:space="preserve"> </w:t>
            </w:r>
            <w:proofErr w:type="spellStart"/>
            <w:r>
              <w:rPr>
                <w:rFonts w:cs="Calibri"/>
              </w:rPr>
              <w:t>Rights</w:t>
            </w:r>
            <w:proofErr w:type="spellEnd"/>
            <w:r>
              <w:rPr>
                <w:rFonts w:cs="Calibri"/>
              </w:rPr>
              <w:t xml:space="preserve"> Reports : </w:t>
            </w:r>
            <w:proofErr w:type="spellStart"/>
            <w:r>
              <w:rPr>
                <w:rFonts w:cs="Calibri"/>
              </w:rPr>
              <w:t>Hungary</w:t>
            </w:r>
            <w:proofErr w:type="spellEnd"/>
            <w:r>
              <w:rPr>
                <w:rFonts w:cs="Calibri"/>
              </w:rPr>
              <w:t xml:space="preserve"> (2010)</w:t>
            </w:r>
          </w:p>
        </w:tc>
      </w:tr>
      <w:tr w:rsidR="00EF3AFF" w:rsidTr="00724DE0">
        <w:tc>
          <w:tcPr>
            <w:tcW w:w="2694" w:type="dxa"/>
            <w:gridSpan w:val="2"/>
            <w:tcBorders>
              <w:top w:val="single" w:sz="4" w:space="0" w:color="000000"/>
              <w:left w:val="single" w:sz="4" w:space="0" w:color="000000"/>
              <w:bottom w:val="single" w:sz="4" w:space="0" w:color="000000"/>
              <w:right w:val="single" w:sz="4" w:space="0" w:color="000000"/>
            </w:tcBorders>
          </w:tcPr>
          <w:p w:rsidR="00EF3AFF" w:rsidRDefault="00EF3AFF">
            <w:pPr>
              <w:spacing w:after="0" w:line="240" w:lineRule="auto"/>
              <w:rPr>
                <w:rFonts w:cs="Calibri"/>
              </w:rPr>
            </w:pPr>
            <w:r>
              <w:rPr>
                <w:rFonts w:cs="Calibri"/>
              </w:rPr>
              <w:t>Observations/</w:t>
            </w:r>
            <w:proofErr w:type="spellStart"/>
            <w:r>
              <w:rPr>
                <w:rFonts w:cs="Calibri"/>
              </w:rPr>
              <w:t>Comments</w:t>
            </w:r>
            <w:proofErr w:type="spellEnd"/>
          </w:p>
          <w:p w:rsidR="00EF3AFF" w:rsidRDefault="00EF3AFF">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EF3AFF" w:rsidRPr="00EF3AFF" w:rsidRDefault="00EF3AFF" w:rsidP="00EF3AFF">
            <w:pPr>
              <w:spacing w:after="0" w:line="100" w:lineRule="atLeast"/>
              <w:jc w:val="both"/>
              <w:rPr>
                <w:rFonts w:cs="Calibri"/>
                <w:b/>
              </w:rPr>
            </w:pPr>
            <w:r w:rsidRPr="00EF3AFF">
              <w:rPr>
                <w:rFonts w:cs="Calibri"/>
                <w:b/>
              </w:rPr>
              <w:t>Th</w:t>
            </w:r>
            <w:r w:rsidRPr="00EF3AFF">
              <w:rPr>
                <w:rFonts w:cs="Calibri"/>
                <w:b/>
                <w:lang w:val="en-US"/>
              </w:rPr>
              <w:t>e</w:t>
            </w:r>
            <w:r w:rsidRPr="00EF3AFF">
              <w:rPr>
                <w:rFonts w:cs="Calibri"/>
                <w:b/>
              </w:rPr>
              <w:t xml:space="preserve"> </w:t>
            </w:r>
            <w:r w:rsidRPr="00EF3AFF">
              <w:rPr>
                <w:rFonts w:cs="Calibri"/>
                <w:b/>
                <w:lang w:val="en-US"/>
              </w:rPr>
              <w:t>results and findings of this case</w:t>
            </w:r>
            <w:r w:rsidRPr="00EF3AFF">
              <w:rPr>
                <w:rFonts w:cs="Calibri"/>
                <w:b/>
              </w:rPr>
              <w:t xml:space="preserve"> </w:t>
            </w:r>
            <w:proofErr w:type="spellStart"/>
            <w:r w:rsidRPr="00EF3AFF">
              <w:rPr>
                <w:rFonts w:cs="Calibri"/>
                <w:b/>
              </w:rPr>
              <w:t>does</w:t>
            </w:r>
            <w:proofErr w:type="spellEnd"/>
            <w:r w:rsidRPr="00EF3AFF">
              <w:rPr>
                <w:rFonts w:cs="Calibri"/>
                <w:b/>
              </w:rPr>
              <w:t xml:space="preserve"> not </w:t>
            </w:r>
            <w:proofErr w:type="spellStart"/>
            <w:r w:rsidRPr="00EF3AFF">
              <w:rPr>
                <w:rFonts w:cs="Calibri"/>
                <w:b/>
              </w:rPr>
              <w:t>mean</w:t>
            </w:r>
            <w:proofErr w:type="spellEnd"/>
            <w:r w:rsidRPr="00EF3AFF">
              <w:rPr>
                <w:rFonts w:cs="Calibri"/>
                <w:b/>
              </w:rPr>
              <w:t xml:space="preserve"> </w:t>
            </w:r>
            <w:proofErr w:type="spellStart"/>
            <w:r w:rsidRPr="00EF3AFF">
              <w:rPr>
                <w:rFonts w:cs="Calibri"/>
                <w:b/>
              </w:rPr>
              <w:t>that</w:t>
            </w:r>
            <w:proofErr w:type="spellEnd"/>
            <w:r w:rsidRPr="00EF3AFF">
              <w:rPr>
                <w:rFonts w:cs="Calibri"/>
                <w:b/>
              </w:rPr>
              <w:t xml:space="preserve"> </w:t>
            </w:r>
            <w:proofErr w:type="spellStart"/>
            <w:r w:rsidRPr="00EF3AFF">
              <w:rPr>
                <w:rFonts w:cs="Calibri"/>
                <w:b/>
              </w:rPr>
              <w:t>Hungary</w:t>
            </w:r>
            <w:proofErr w:type="spellEnd"/>
            <w:r w:rsidRPr="00EF3AFF">
              <w:rPr>
                <w:rFonts w:cs="Calibri"/>
                <w:b/>
              </w:rPr>
              <w:t xml:space="preserve"> </w:t>
            </w:r>
            <w:proofErr w:type="spellStart"/>
            <w:r w:rsidRPr="00EF3AFF">
              <w:rPr>
                <w:rFonts w:cs="Calibri"/>
                <w:b/>
              </w:rPr>
              <w:t>is</w:t>
            </w:r>
            <w:proofErr w:type="spellEnd"/>
            <w:r w:rsidRPr="00EF3AFF">
              <w:rPr>
                <w:rFonts w:cs="Calibri"/>
                <w:b/>
              </w:rPr>
              <w:t xml:space="preserve"> </w:t>
            </w:r>
            <w:proofErr w:type="spellStart"/>
            <w:r w:rsidRPr="00EF3AFF">
              <w:rPr>
                <w:rFonts w:cs="Calibri"/>
                <w:b/>
              </w:rPr>
              <w:t>seen</w:t>
            </w:r>
            <w:proofErr w:type="spellEnd"/>
            <w:r w:rsidRPr="00EF3AFF">
              <w:rPr>
                <w:rFonts w:cs="Calibri"/>
                <w:b/>
              </w:rPr>
              <w:t xml:space="preserve"> as an </w:t>
            </w:r>
            <w:proofErr w:type="spellStart"/>
            <w:r w:rsidRPr="00EF3AFF">
              <w:rPr>
                <w:rFonts w:cs="Calibri"/>
                <w:b/>
              </w:rPr>
              <w:t>unsafe</w:t>
            </w:r>
            <w:proofErr w:type="spellEnd"/>
            <w:r w:rsidRPr="00EF3AFF">
              <w:rPr>
                <w:rFonts w:cs="Calibri"/>
                <w:b/>
              </w:rPr>
              <w:t xml:space="preserve"> country </w:t>
            </w:r>
            <w:proofErr w:type="spellStart"/>
            <w:r w:rsidRPr="00EF3AFF">
              <w:rPr>
                <w:rFonts w:cs="Calibri"/>
                <w:b/>
              </w:rPr>
              <w:t>from</w:t>
            </w:r>
            <w:proofErr w:type="spellEnd"/>
            <w:r w:rsidRPr="00EF3AFF">
              <w:rPr>
                <w:rFonts w:cs="Calibri"/>
                <w:b/>
              </w:rPr>
              <w:t xml:space="preserve"> </w:t>
            </w:r>
            <w:proofErr w:type="spellStart"/>
            <w:r w:rsidRPr="00EF3AFF">
              <w:rPr>
                <w:rFonts w:cs="Calibri"/>
                <w:b/>
              </w:rPr>
              <w:t>now</w:t>
            </w:r>
            <w:proofErr w:type="spellEnd"/>
            <w:r w:rsidRPr="00EF3AFF">
              <w:rPr>
                <w:rFonts w:cs="Calibri"/>
                <w:b/>
              </w:rPr>
              <w:t xml:space="preserve"> on. It </w:t>
            </w:r>
            <w:proofErr w:type="spellStart"/>
            <w:r w:rsidRPr="00EF3AFF">
              <w:rPr>
                <w:rFonts w:cs="Calibri"/>
                <w:b/>
              </w:rPr>
              <w:t>only</w:t>
            </w:r>
            <w:proofErr w:type="spellEnd"/>
            <w:r w:rsidRPr="00EF3AFF">
              <w:rPr>
                <w:rFonts w:cs="Calibri"/>
                <w:b/>
              </w:rPr>
              <w:t xml:space="preserve"> </w:t>
            </w:r>
            <w:proofErr w:type="spellStart"/>
            <w:r w:rsidRPr="00EF3AFF">
              <w:rPr>
                <w:rFonts w:cs="Calibri"/>
                <w:b/>
              </w:rPr>
              <w:t>means</w:t>
            </w:r>
            <w:proofErr w:type="spellEnd"/>
            <w:r w:rsidRPr="00EF3AFF">
              <w:rPr>
                <w:rFonts w:cs="Calibri"/>
                <w:b/>
              </w:rPr>
              <w:t xml:space="preserve"> </w:t>
            </w:r>
            <w:proofErr w:type="spellStart"/>
            <w:r w:rsidRPr="00EF3AFF">
              <w:rPr>
                <w:rFonts w:cs="Calibri"/>
                <w:b/>
              </w:rPr>
              <w:t>that</w:t>
            </w:r>
            <w:proofErr w:type="spellEnd"/>
            <w:r w:rsidRPr="00EF3AFF">
              <w:rPr>
                <w:rFonts w:cs="Calibri"/>
                <w:b/>
              </w:rPr>
              <w:t xml:space="preserve"> if a </w:t>
            </w:r>
            <w:proofErr w:type="spellStart"/>
            <w:r w:rsidRPr="00EF3AFF">
              <w:rPr>
                <w:rFonts w:cs="Calibri"/>
                <w:b/>
              </w:rPr>
              <w:t>person</w:t>
            </w:r>
            <w:proofErr w:type="spellEnd"/>
            <w:r w:rsidRPr="00EF3AFF">
              <w:rPr>
                <w:rFonts w:cs="Calibri"/>
                <w:b/>
              </w:rPr>
              <w:t xml:space="preserve"> </w:t>
            </w:r>
            <w:proofErr w:type="spellStart"/>
            <w:r w:rsidRPr="00EF3AFF">
              <w:rPr>
                <w:rFonts w:cs="Calibri"/>
                <w:b/>
              </w:rPr>
              <w:t>gives</w:t>
            </w:r>
            <w:proofErr w:type="spellEnd"/>
            <w:r w:rsidRPr="00EF3AFF">
              <w:rPr>
                <w:rFonts w:cs="Calibri"/>
                <w:b/>
              </w:rPr>
              <w:t xml:space="preserve"> </w:t>
            </w:r>
            <w:proofErr w:type="spellStart"/>
            <w:r w:rsidRPr="00EF3AFF">
              <w:rPr>
                <w:rFonts w:cs="Calibri"/>
                <w:b/>
              </w:rPr>
              <w:t>individual</w:t>
            </w:r>
            <w:proofErr w:type="spellEnd"/>
            <w:r w:rsidRPr="00EF3AFF">
              <w:rPr>
                <w:rFonts w:cs="Calibri"/>
                <w:b/>
              </w:rPr>
              <w:t xml:space="preserve"> </w:t>
            </w:r>
            <w:proofErr w:type="spellStart"/>
            <w:r w:rsidRPr="00EF3AFF">
              <w:rPr>
                <w:rFonts w:cs="Calibri"/>
                <w:b/>
              </w:rPr>
              <w:t>reasons</w:t>
            </w:r>
            <w:proofErr w:type="spellEnd"/>
            <w:r w:rsidRPr="00EF3AFF">
              <w:rPr>
                <w:rFonts w:cs="Calibri"/>
                <w:b/>
              </w:rPr>
              <w:t xml:space="preserve"> </w:t>
            </w:r>
            <w:proofErr w:type="spellStart"/>
            <w:r w:rsidRPr="00EF3AFF">
              <w:rPr>
                <w:rFonts w:cs="Calibri"/>
                <w:b/>
              </w:rPr>
              <w:t>why</w:t>
            </w:r>
            <w:proofErr w:type="spellEnd"/>
            <w:r w:rsidRPr="00EF3AFF">
              <w:rPr>
                <w:rFonts w:cs="Calibri"/>
                <w:b/>
              </w:rPr>
              <w:t xml:space="preserve"> </w:t>
            </w:r>
            <w:proofErr w:type="spellStart"/>
            <w:r w:rsidRPr="00EF3AFF">
              <w:rPr>
                <w:rFonts w:cs="Calibri"/>
                <w:b/>
              </w:rPr>
              <w:t>Hungary</w:t>
            </w:r>
            <w:proofErr w:type="spellEnd"/>
            <w:r w:rsidRPr="00EF3AFF">
              <w:rPr>
                <w:rFonts w:cs="Calibri"/>
                <w:b/>
              </w:rPr>
              <w:t xml:space="preserve"> </w:t>
            </w:r>
            <w:proofErr w:type="spellStart"/>
            <w:r w:rsidRPr="00EF3AFF">
              <w:rPr>
                <w:rFonts w:cs="Calibri"/>
                <w:b/>
              </w:rPr>
              <w:t>is</w:t>
            </w:r>
            <w:proofErr w:type="spellEnd"/>
            <w:r w:rsidRPr="00EF3AFF">
              <w:rPr>
                <w:rFonts w:cs="Calibri"/>
                <w:b/>
              </w:rPr>
              <w:t xml:space="preserve"> not </w:t>
            </w:r>
            <w:proofErr w:type="spellStart"/>
            <w:r w:rsidRPr="00EF3AFF">
              <w:rPr>
                <w:rFonts w:cs="Calibri"/>
                <w:b/>
              </w:rPr>
              <w:t>safe</w:t>
            </w:r>
            <w:proofErr w:type="spellEnd"/>
            <w:r w:rsidRPr="00EF3AFF">
              <w:rPr>
                <w:rFonts w:cs="Calibri"/>
                <w:b/>
              </w:rPr>
              <w:t xml:space="preserve">, the </w:t>
            </w:r>
            <w:proofErr w:type="spellStart"/>
            <w:r w:rsidRPr="00EF3AFF">
              <w:rPr>
                <w:rFonts w:cs="Calibri"/>
                <w:b/>
              </w:rPr>
              <w:t>Federal</w:t>
            </w:r>
            <w:proofErr w:type="spellEnd"/>
            <w:r w:rsidRPr="00EF3AFF">
              <w:rPr>
                <w:rFonts w:cs="Calibri"/>
                <w:b/>
              </w:rPr>
              <w:t xml:space="preserve"> </w:t>
            </w:r>
            <w:proofErr w:type="spellStart"/>
            <w:r w:rsidRPr="00EF3AFF">
              <w:rPr>
                <w:rFonts w:cs="Calibri"/>
                <w:b/>
              </w:rPr>
              <w:t>Asylum</w:t>
            </w:r>
            <w:proofErr w:type="spellEnd"/>
            <w:r w:rsidRPr="00EF3AFF">
              <w:rPr>
                <w:rFonts w:cs="Calibri"/>
                <w:b/>
              </w:rPr>
              <w:t xml:space="preserve"> Office has to examine </w:t>
            </w:r>
            <w:proofErr w:type="spellStart"/>
            <w:r w:rsidRPr="00EF3AFF">
              <w:rPr>
                <w:rFonts w:cs="Calibri"/>
                <w:b/>
              </w:rPr>
              <w:t>them</w:t>
            </w:r>
            <w:proofErr w:type="spellEnd"/>
            <w:r w:rsidRPr="00EF3AFF">
              <w:rPr>
                <w:rFonts w:cs="Calibri"/>
                <w:b/>
              </w:rPr>
              <w:t xml:space="preserve"> in </w:t>
            </w:r>
            <w:proofErr w:type="spellStart"/>
            <w:r w:rsidRPr="00EF3AFF">
              <w:rPr>
                <w:rFonts w:cs="Calibri"/>
                <w:b/>
              </w:rPr>
              <w:t>detail</w:t>
            </w:r>
            <w:proofErr w:type="spellEnd"/>
            <w:r w:rsidRPr="00EF3AFF">
              <w:rPr>
                <w:rFonts w:cs="Calibri"/>
                <w:b/>
              </w:rPr>
              <w:t>.</w:t>
            </w:r>
          </w:p>
          <w:p w:rsidR="00EF3AFF" w:rsidRPr="00EF3AFF" w:rsidRDefault="00EF3AFF" w:rsidP="00EF3AFF">
            <w:pPr>
              <w:spacing w:after="0" w:line="100" w:lineRule="atLeast"/>
              <w:jc w:val="both"/>
              <w:rPr>
                <w:rFonts w:cs="Calibri"/>
                <w:b/>
              </w:rPr>
            </w:pPr>
          </w:p>
          <w:p w:rsidR="00EF3AFF" w:rsidRPr="00EF3AFF" w:rsidRDefault="00EF3AFF" w:rsidP="00EF3AFF">
            <w:pPr>
              <w:spacing w:after="0" w:line="100" w:lineRule="atLeast"/>
              <w:jc w:val="both"/>
              <w:rPr>
                <w:rFonts w:cs="Calibri"/>
                <w:b/>
                <w:lang w:val="en-GB"/>
              </w:rPr>
            </w:pPr>
            <w:r w:rsidRPr="00EF3AFF">
              <w:rPr>
                <w:rFonts w:cs="Calibri"/>
                <w:b/>
                <w:lang w:val="en-GB"/>
              </w:rPr>
              <w:t xml:space="preserve">Concerning the COI, the Asylum Court and the Federal Asylum Office, it has to be clarified that the Federal Asylum Office as well as the Asylum Court have their own COI, which consists of various reports from different sources. These reports are gathered from NGOs as well as from other countries (especially UK Home Office, reports from German Foreign </w:t>
            </w:r>
            <w:proofErr w:type="gramStart"/>
            <w:r w:rsidRPr="00EF3AFF">
              <w:rPr>
                <w:rFonts w:cs="Calibri"/>
                <w:b/>
                <w:lang w:val="en-GB"/>
              </w:rPr>
              <w:t>Ministry,…)</w:t>
            </w:r>
            <w:proofErr w:type="gramEnd"/>
            <w:r w:rsidRPr="00EF3AFF">
              <w:rPr>
                <w:rFonts w:cs="Calibri"/>
                <w:b/>
                <w:lang w:val="en-GB"/>
              </w:rPr>
              <w:t xml:space="preserve">. Additional sources are the relevant laws of the respective state, reports from Austria’s own diplomatic missions and correspondences with the authorities of the relevant country. </w:t>
            </w:r>
          </w:p>
          <w:p w:rsidR="00EF3AFF" w:rsidRPr="00EF3AFF" w:rsidRDefault="00EF3AFF" w:rsidP="00EF3AFF">
            <w:pPr>
              <w:spacing w:after="0" w:line="100" w:lineRule="atLeast"/>
              <w:jc w:val="both"/>
              <w:rPr>
                <w:rFonts w:cs="Calibri"/>
                <w:b/>
                <w:lang w:val="en-GB"/>
              </w:rPr>
            </w:pPr>
            <w:r w:rsidRPr="00EF3AFF">
              <w:rPr>
                <w:rFonts w:cs="Calibri"/>
                <w:b/>
                <w:lang w:val="en-GB"/>
              </w:rPr>
              <w:t>These country reports are used in every asylum procedure. In cases where a special topic arises (for instance, a serious medical condition, another kind of individual threat of a violation of Art 3 ECHR</w:t>
            </w:r>
            <w:proofErr w:type="gramStart"/>
            <w:r w:rsidRPr="00EF3AFF">
              <w:rPr>
                <w:rFonts w:cs="Calibri"/>
                <w:b/>
                <w:lang w:val="en-GB"/>
              </w:rPr>
              <w:t>,...</w:t>
            </w:r>
            <w:proofErr w:type="gramEnd"/>
            <w:r w:rsidRPr="00EF3AFF">
              <w:rPr>
                <w:rFonts w:cs="Calibri"/>
                <w:b/>
                <w:lang w:val="en-GB"/>
              </w:rPr>
              <w:t>) further investigations have to be undertaken to exclude a risk of a violation of the constitutional rights.</w:t>
            </w:r>
          </w:p>
          <w:p w:rsidR="00EF3AFF" w:rsidRDefault="00EF3AFF" w:rsidP="00724921">
            <w:pPr>
              <w:spacing w:after="0" w:line="240" w:lineRule="auto"/>
              <w:jc w:val="both"/>
              <w:rPr>
                <w:rFonts w:cs="Calibri"/>
                <w:b/>
              </w:rPr>
            </w:pPr>
            <w:r w:rsidRPr="00EF3AFF">
              <w:rPr>
                <w:rFonts w:cs="Calibri"/>
                <w:b/>
                <w:lang w:val="en-GB"/>
              </w:rPr>
              <w:t xml:space="preserve">These country reports are seen as facts and it is hardly ever possible to convince a court or the Federal Asylum Office that the situation might </w:t>
            </w:r>
            <w:r w:rsidRPr="00EF3AFF">
              <w:rPr>
                <w:rFonts w:cs="Calibri"/>
                <w:b/>
                <w:lang w:val="en-GB"/>
              </w:rPr>
              <w:lastRenderedPageBreak/>
              <w:t xml:space="preserve">be different in particular cases – even if other reports support what the asylum seeker says during his </w:t>
            </w:r>
            <w:r>
              <w:rPr>
                <w:rFonts w:cs="Calibri"/>
                <w:b/>
                <w:lang w:val="en-GB"/>
              </w:rPr>
              <w:t>hearings.</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1976AA"/>
    <w:rsid w:val="00230ADF"/>
    <w:rsid w:val="00426912"/>
    <w:rsid w:val="004A0E3D"/>
    <w:rsid w:val="005125CA"/>
    <w:rsid w:val="00580F0A"/>
    <w:rsid w:val="005A1926"/>
    <w:rsid w:val="00724921"/>
    <w:rsid w:val="00724DE0"/>
    <w:rsid w:val="007B31A6"/>
    <w:rsid w:val="0083197B"/>
    <w:rsid w:val="009448A4"/>
    <w:rsid w:val="00996C36"/>
    <w:rsid w:val="00AB7286"/>
    <w:rsid w:val="00BA05F6"/>
    <w:rsid w:val="00C353E3"/>
    <w:rsid w:val="00D65804"/>
    <w:rsid w:val="00E465FA"/>
    <w:rsid w:val="00EF3AF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EF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FF"/>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EF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FF"/>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4580</Characters>
  <Application>Microsoft Macintosh Word</Application>
  <DocSecurity>0</DocSecurity>
  <Lines>38</Lines>
  <Paragraphs>10</Paragraphs>
  <ScaleCrop>false</ScaleCrop>
  <Company>TU Wien - Campusversion</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cp:lastPrinted>2013-08-20T11:07:00Z</cp:lastPrinted>
  <dcterms:created xsi:type="dcterms:W3CDTF">2013-08-20T11:12:00Z</dcterms:created>
  <dcterms:modified xsi:type="dcterms:W3CDTF">2013-08-20T11:12:00Z</dcterms:modified>
</cp:coreProperties>
</file>