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F56" w:rsidRPr="003E0F56" w:rsidRDefault="003E0F56" w:rsidP="003E0F56">
      <w:pPr>
        <w:spacing w:before="100" w:beforeAutospacing="1" w:after="100" w:afterAutospacing="1" w:line="378" w:lineRule="atLeast"/>
        <w:ind w:left="150"/>
        <w:outlineLvl w:val="0"/>
        <w:rPr>
          <w:rFonts w:ascii="Times New Roman" w:eastAsia="Times New Roman" w:hAnsi="Times New Roman" w:cs="Times New Roman"/>
          <w:b/>
          <w:bCs/>
          <w:kern w:val="36"/>
          <w:sz w:val="25"/>
          <w:szCs w:val="25"/>
          <w:lang w:eastAsia="en-GB"/>
        </w:rPr>
      </w:pPr>
      <w:r w:rsidRPr="003E0F56">
        <w:rPr>
          <w:rFonts w:ascii="Times New Roman" w:eastAsia="Times New Roman" w:hAnsi="Times New Roman" w:cs="Times New Roman"/>
          <w:b/>
          <w:bCs/>
          <w:kern w:val="36"/>
          <w:sz w:val="25"/>
          <w:szCs w:val="25"/>
          <w:lang w:eastAsia="en-GB"/>
        </w:rPr>
        <w:t xml:space="preserve">VGH Baden-Württemberg Beschluß vom 15.3.2017, </w:t>
      </w:r>
      <w:bookmarkStart w:id="0" w:name="_GoBack"/>
      <w:r w:rsidRPr="003E0F56">
        <w:rPr>
          <w:rFonts w:ascii="Times New Roman" w:eastAsia="Times New Roman" w:hAnsi="Times New Roman" w:cs="Times New Roman"/>
          <w:b/>
          <w:bCs/>
          <w:kern w:val="36"/>
          <w:sz w:val="25"/>
          <w:szCs w:val="25"/>
          <w:lang w:eastAsia="en-GB"/>
        </w:rPr>
        <w:t>A 11 S 2151/16</w:t>
      </w:r>
    </w:p>
    <w:bookmarkEnd w:id="0"/>
    <w:p w:rsidR="003E0F56" w:rsidRPr="003E0F56" w:rsidRDefault="003E0F56" w:rsidP="003E0F56">
      <w:pPr>
        <w:spacing w:before="150" w:after="150" w:line="240" w:lineRule="auto"/>
        <w:ind w:left="150" w:right="150"/>
        <w:jc w:val="center"/>
        <w:rPr>
          <w:rFonts w:ascii="Arial" w:eastAsia="Times New Roman" w:hAnsi="Arial" w:cs="Arial"/>
          <w:b/>
          <w:bCs/>
          <w:sz w:val="24"/>
          <w:szCs w:val="24"/>
          <w:lang w:eastAsia="en-GB"/>
        </w:rPr>
      </w:pPr>
      <w:r w:rsidRPr="003E0F56">
        <w:rPr>
          <w:rFonts w:ascii="Arial" w:eastAsia="Times New Roman" w:hAnsi="Arial" w:cs="Arial"/>
          <w:b/>
          <w:bCs/>
          <w:sz w:val="24"/>
          <w:szCs w:val="24"/>
          <w:lang w:eastAsia="en-GB"/>
        </w:rPr>
        <w:t>Leitsätze</w:t>
      </w:r>
    </w:p>
    <w:p w:rsidR="003E0F56" w:rsidRPr="003E0F56" w:rsidRDefault="003E0F56" w:rsidP="003E0F56">
      <w:pPr>
        <w:spacing w:before="150" w:after="150" w:line="240" w:lineRule="auto"/>
        <w:ind w:left="150" w:right="150"/>
        <w:rPr>
          <w:rFonts w:ascii="Arial" w:eastAsia="Times New Roman" w:hAnsi="Arial" w:cs="Arial"/>
          <w:sz w:val="19"/>
          <w:szCs w:val="19"/>
          <w:lang w:eastAsia="en-GB"/>
        </w:rPr>
      </w:pPr>
      <w:r w:rsidRPr="003E0F56">
        <w:rPr>
          <w:rFonts w:ascii="Arial" w:eastAsia="Times New Roman" w:hAnsi="Arial" w:cs="Arial"/>
          <w:sz w:val="19"/>
          <w:szCs w:val="19"/>
          <w:lang w:eastAsia="en-GB"/>
        </w:rPr>
        <w:t>Das Verfahren wird ausgesetzt, um nach Art. 267 AEUV eine Vorabentscheidung des Gerichthofs der Europäischen Union zu folgenden Fragen einzuholen:</w:t>
      </w:r>
      <w:r w:rsidRPr="003E0F56">
        <w:rPr>
          <w:rFonts w:ascii="Arial" w:eastAsia="Times New Roman" w:hAnsi="Arial" w:cs="Arial"/>
          <w:sz w:val="19"/>
          <w:szCs w:val="19"/>
          <w:lang w:eastAsia="en-GB"/>
        </w:rPr>
        <w:br/>
      </w:r>
      <w:r w:rsidRPr="003E0F56">
        <w:rPr>
          <w:rFonts w:ascii="Arial" w:eastAsia="Times New Roman" w:hAnsi="Arial" w:cs="Arial"/>
          <w:sz w:val="19"/>
          <w:szCs w:val="19"/>
          <w:lang w:eastAsia="en-GB"/>
        </w:rPr>
        <w:br/>
        <w:t>1. Ist ein Asylbewerber nur dann flüchtig im Sinne von Art. 29 Abs. 2 Satz 2 VO (EU) 604/2013, wenn er sich gezielt und bewusst dem Zugriff der für die Durchführung der Überstellung zuständigen nationalen Behörden entzieht, um die Überstellung zu vereiteln bzw. zu erschweren, oder genügt es, wenn er sich über einen längeren Zeitraum nicht mehr in der ihm zugewiesenen Wohnung aufhält und die Behörde nicht über seinen Verbleib informiert ist und deshalb eine geplante Überstellung nicht durchgeführt werden kann?</w:t>
      </w:r>
      <w:r w:rsidRPr="003E0F56">
        <w:rPr>
          <w:rFonts w:ascii="Arial" w:eastAsia="Times New Roman" w:hAnsi="Arial" w:cs="Arial"/>
          <w:sz w:val="19"/>
          <w:szCs w:val="19"/>
          <w:lang w:eastAsia="en-GB"/>
        </w:rPr>
        <w:br/>
      </w:r>
      <w:r w:rsidRPr="003E0F56">
        <w:rPr>
          <w:rFonts w:ascii="Arial" w:eastAsia="Times New Roman" w:hAnsi="Arial" w:cs="Arial"/>
          <w:sz w:val="19"/>
          <w:szCs w:val="19"/>
          <w:lang w:eastAsia="en-GB"/>
        </w:rPr>
        <w:br/>
        <w:t>Kann sich der Betroffene auf die richtige Anwendung der Vorschrift berufen und in einem Verfahren gegen die Überstellungsentscheidung einwenden, die Überstellungsfrist von sechs Monaten sei abgelaufen, weil er nicht flüchtig gewesen sei?</w:t>
      </w:r>
      <w:r w:rsidRPr="003E0F56">
        <w:rPr>
          <w:rFonts w:ascii="Arial" w:eastAsia="Times New Roman" w:hAnsi="Arial" w:cs="Arial"/>
          <w:sz w:val="19"/>
          <w:szCs w:val="19"/>
          <w:lang w:eastAsia="en-GB"/>
        </w:rPr>
        <w:br/>
      </w:r>
      <w:r w:rsidRPr="003E0F56">
        <w:rPr>
          <w:rFonts w:ascii="Arial" w:eastAsia="Times New Roman" w:hAnsi="Arial" w:cs="Arial"/>
          <w:sz w:val="19"/>
          <w:szCs w:val="19"/>
          <w:lang w:eastAsia="en-GB"/>
        </w:rPr>
        <w:br/>
        <w:t>2. Kommt eine Verlängerung der Frist nach Art. 29 Abs. 1 UA 1 VO (EU) 604/2013 allein dadurch zustande, dass der überstellende Mitgliedstaat noch vor Ablauf der Frist den zuständigen Mitgliedstaat darüber informiert, dass der Betreffende flüchtig ist, und zugleich eine konkrete Frist benennt, die 18 Monate nicht übersteigen darf, bis zu der die Überstellung durchgeführt werden wird, oder ist eine Verlängerung nur in der Weise möglich, dass die beteiligten Mitgliedstaaten einvernehmlich eine verlängerte Frist festlegen?</w:t>
      </w:r>
      <w:r w:rsidRPr="003E0F56">
        <w:rPr>
          <w:rFonts w:ascii="Arial" w:eastAsia="Times New Roman" w:hAnsi="Arial" w:cs="Arial"/>
          <w:sz w:val="19"/>
          <w:szCs w:val="19"/>
          <w:lang w:eastAsia="en-GB"/>
        </w:rPr>
        <w:br/>
      </w:r>
      <w:r w:rsidRPr="003E0F56">
        <w:rPr>
          <w:rFonts w:ascii="Arial" w:eastAsia="Times New Roman" w:hAnsi="Arial" w:cs="Arial"/>
          <w:sz w:val="19"/>
          <w:szCs w:val="19"/>
          <w:lang w:eastAsia="en-GB"/>
        </w:rPr>
        <w:br/>
        <w:t>3. Ist eine Überstellung des Asylbewerbers in den zuständigen Mitgliedstaat unzulässig, wenn er für den Fall einer Zuerkennung eines internationalen Schutzstatus dort im Hinblick auf die dann zu erwartenden Lebensumstände einem ernsthaften Risikos ausgesetzt wäre, eine Behandlung im Sinne des Art. 4 GRCh zu erfahren?</w:t>
      </w:r>
      <w:r w:rsidRPr="003E0F56">
        <w:rPr>
          <w:rFonts w:ascii="Arial" w:eastAsia="Times New Roman" w:hAnsi="Arial" w:cs="Arial"/>
          <w:sz w:val="19"/>
          <w:szCs w:val="19"/>
          <w:lang w:eastAsia="en-GB"/>
        </w:rPr>
        <w:br/>
      </w:r>
      <w:r w:rsidRPr="003E0F56">
        <w:rPr>
          <w:rFonts w:ascii="Arial" w:eastAsia="Times New Roman" w:hAnsi="Arial" w:cs="Arial"/>
          <w:sz w:val="19"/>
          <w:szCs w:val="19"/>
          <w:lang w:eastAsia="en-GB"/>
        </w:rPr>
        <w:br/>
        <w:t>Fällt diese Fragestellung noch in den Anwendungsbereich des Unionsrechts?</w:t>
      </w:r>
      <w:r w:rsidRPr="003E0F56">
        <w:rPr>
          <w:rFonts w:ascii="Arial" w:eastAsia="Times New Roman" w:hAnsi="Arial" w:cs="Arial"/>
          <w:sz w:val="19"/>
          <w:szCs w:val="19"/>
          <w:lang w:eastAsia="en-GB"/>
        </w:rPr>
        <w:br/>
      </w:r>
      <w:r w:rsidRPr="003E0F56">
        <w:rPr>
          <w:rFonts w:ascii="Arial" w:eastAsia="Times New Roman" w:hAnsi="Arial" w:cs="Arial"/>
          <w:sz w:val="19"/>
          <w:szCs w:val="19"/>
          <w:lang w:eastAsia="en-GB"/>
        </w:rPr>
        <w:br/>
        <w:t>Nach welchen unionsrechtlichen Maßstäben sind die Lebensverhältnisse des anerkannten international Schutzberechtigten zu beurteilen?</w:t>
      </w:r>
    </w:p>
    <w:p w:rsidR="003E0F56" w:rsidRPr="003E0F56" w:rsidRDefault="003E0F56" w:rsidP="003E0F56">
      <w:pPr>
        <w:spacing w:before="150" w:after="150" w:line="240" w:lineRule="auto"/>
        <w:ind w:left="150" w:right="150"/>
        <w:jc w:val="center"/>
        <w:rPr>
          <w:rFonts w:ascii="Arial" w:eastAsia="Times New Roman" w:hAnsi="Arial" w:cs="Arial"/>
          <w:b/>
          <w:bCs/>
          <w:sz w:val="24"/>
          <w:szCs w:val="24"/>
          <w:lang w:eastAsia="en-GB"/>
        </w:rPr>
      </w:pPr>
      <w:r w:rsidRPr="003E0F56">
        <w:rPr>
          <w:rFonts w:ascii="Arial" w:eastAsia="Times New Roman" w:hAnsi="Arial" w:cs="Arial"/>
          <w:b/>
          <w:bCs/>
          <w:sz w:val="24"/>
          <w:szCs w:val="24"/>
          <w:lang w:eastAsia="en-GB"/>
        </w:rPr>
        <w:t>Tenor</w:t>
      </w:r>
    </w:p>
    <w:p w:rsidR="003E0F56" w:rsidRPr="003E0F56" w:rsidRDefault="003E0F56" w:rsidP="003E0F56">
      <w:pPr>
        <w:spacing w:before="150" w:after="150" w:line="240" w:lineRule="auto"/>
        <w:ind w:left="150" w:right="150"/>
        <w:rPr>
          <w:rFonts w:ascii="Arial" w:eastAsia="Times New Roman" w:hAnsi="Arial" w:cs="Arial"/>
          <w:sz w:val="19"/>
          <w:szCs w:val="19"/>
          <w:lang w:eastAsia="en-GB"/>
        </w:rPr>
      </w:pPr>
      <w:r w:rsidRPr="003E0F56">
        <w:rPr>
          <w:rFonts w:ascii="Arial" w:eastAsia="Times New Roman" w:hAnsi="Arial" w:cs="Arial"/>
          <w:sz w:val="19"/>
          <w:szCs w:val="19"/>
          <w:lang w:eastAsia="en-GB"/>
        </w:rPr>
        <w:t>Das Verfahren wird ausgesetzt, um nach Art. 267 AEUV eine Vorabentscheidung des Gerichthofs der Europäischen Union zu folgenden Fragen einzuholen:</w:t>
      </w:r>
    </w:p>
    <w:p w:rsidR="003E0F56" w:rsidRPr="003E0F56" w:rsidRDefault="003E0F56" w:rsidP="003E0F56">
      <w:pPr>
        <w:spacing w:before="150" w:after="150" w:line="240" w:lineRule="auto"/>
        <w:ind w:left="150" w:right="150"/>
        <w:rPr>
          <w:rFonts w:ascii="Arial" w:eastAsia="Times New Roman" w:hAnsi="Arial" w:cs="Arial"/>
          <w:sz w:val="19"/>
          <w:szCs w:val="19"/>
          <w:lang w:eastAsia="en-GB"/>
        </w:rPr>
      </w:pPr>
      <w:r w:rsidRPr="003E0F56">
        <w:rPr>
          <w:rFonts w:ascii="Arial" w:eastAsia="Times New Roman" w:hAnsi="Arial" w:cs="Arial"/>
          <w:sz w:val="19"/>
          <w:szCs w:val="19"/>
          <w:lang w:eastAsia="en-GB"/>
        </w:rPr>
        <w:t>1. Ist ein Asylbewerber nur dann flüchtig im Sinne von Art. 29 Abs. 2 Satz 2 VO (EU) 604/2013, wenn er sich gezielt und bewusst dem Zugriff der für die Durchführung der Überstellung zuständigen nationalen Behörden entzieht, um die Überstellung zu vereiteln bzw. zu erschweren, oder genügt es, wenn er sich über einen längeren Zeitraum nicht mehr in der ihm zugewiesenen Wohnung aufhält und die Behörde nicht über seinen Verbleib informiert ist und deshalb eine geplante Überstellung nicht durchgeführt werden kann?</w:t>
      </w:r>
    </w:p>
    <w:p w:rsidR="003E0F56" w:rsidRPr="003E0F56" w:rsidRDefault="003E0F56" w:rsidP="003E0F56">
      <w:pPr>
        <w:spacing w:before="150" w:after="150" w:line="240" w:lineRule="auto"/>
        <w:ind w:left="150" w:right="150"/>
        <w:rPr>
          <w:rFonts w:ascii="Arial" w:eastAsia="Times New Roman" w:hAnsi="Arial" w:cs="Arial"/>
          <w:sz w:val="19"/>
          <w:szCs w:val="19"/>
          <w:lang w:eastAsia="en-GB"/>
        </w:rPr>
      </w:pPr>
      <w:r w:rsidRPr="003E0F56">
        <w:rPr>
          <w:rFonts w:ascii="Arial" w:eastAsia="Times New Roman" w:hAnsi="Arial" w:cs="Arial"/>
          <w:sz w:val="19"/>
          <w:szCs w:val="19"/>
          <w:lang w:eastAsia="en-GB"/>
        </w:rPr>
        <w:t>Kann sich der Betroffene auf die richtige Anwendung der Vorschrift berufen und in einem Verfahren gegen die Überstellungsentscheidung einwenden, die Überstellungsfrist von sechs Monaten sei abgelaufen, weil er nicht flüchtig gewesen sei?</w:t>
      </w:r>
    </w:p>
    <w:p w:rsidR="003E0F56" w:rsidRPr="003E0F56" w:rsidRDefault="003E0F56" w:rsidP="003E0F56">
      <w:pPr>
        <w:spacing w:before="150" w:after="150" w:line="240" w:lineRule="auto"/>
        <w:ind w:left="150" w:right="150"/>
        <w:rPr>
          <w:rFonts w:ascii="Arial" w:eastAsia="Times New Roman" w:hAnsi="Arial" w:cs="Arial"/>
          <w:sz w:val="19"/>
          <w:szCs w:val="19"/>
          <w:lang w:eastAsia="en-GB"/>
        </w:rPr>
      </w:pPr>
      <w:r w:rsidRPr="003E0F56">
        <w:rPr>
          <w:rFonts w:ascii="Arial" w:eastAsia="Times New Roman" w:hAnsi="Arial" w:cs="Arial"/>
          <w:sz w:val="19"/>
          <w:szCs w:val="19"/>
          <w:lang w:eastAsia="en-GB"/>
        </w:rPr>
        <w:t>2. Kommt eine Verlängerung der Frist nach Art. 29 Abs. 1 UA 1 VO (EU) 604/2013 allein dadurch zustande, dass der überstellende Mitgliedstaat noch vor Ablauf der Frist den zuständigen Mitgliedstaat darüber informiert, dass der Betreffende flüchtig ist, und zugleich eine konkrete Frist benennt, die 18 Monate nicht übersteigen darf, bis zu der die Überstellung durchgeführt werden wird, oder ist eine Verlängerung nur in der Weise möglich, dass die beteiligten Mitgliedstaaten einvernehmlich eine verlängerte Frist festlegen?</w:t>
      </w:r>
    </w:p>
    <w:p w:rsidR="003E0F56" w:rsidRPr="003E0F56" w:rsidRDefault="003E0F56" w:rsidP="003E0F56">
      <w:pPr>
        <w:spacing w:before="150" w:after="150" w:line="240" w:lineRule="auto"/>
        <w:ind w:left="150" w:right="150"/>
        <w:rPr>
          <w:rFonts w:ascii="Arial" w:eastAsia="Times New Roman" w:hAnsi="Arial" w:cs="Arial"/>
          <w:sz w:val="19"/>
          <w:szCs w:val="19"/>
          <w:lang w:eastAsia="en-GB"/>
        </w:rPr>
      </w:pPr>
      <w:r w:rsidRPr="003E0F56">
        <w:rPr>
          <w:rFonts w:ascii="Arial" w:eastAsia="Times New Roman" w:hAnsi="Arial" w:cs="Arial"/>
          <w:sz w:val="19"/>
          <w:szCs w:val="19"/>
          <w:lang w:eastAsia="en-GB"/>
        </w:rPr>
        <w:t>3. Ist eine Überstellung des Asylbewerbers in den zuständigen Mitgliedstaat unzulässig, wenn er für den Fall einer Zuerkennung eines internationalen Schutzstatus dort im Hinblick auf die dann zu erwartenden Lebensumstände einem ernsthaften Risikos ausgesetzt wäre, eine Behandlung im Sinne des Art. 4 GRCh zu erfahren?</w:t>
      </w:r>
    </w:p>
    <w:p w:rsidR="003E0F56" w:rsidRPr="003E0F56" w:rsidRDefault="003E0F56" w:rsidP="003E0F56">
      <w:pPr>
        <w:spacing w:before="150" w:after="150" w:line="240" w:lineRule="auto"/>
        <w:ind w:left="150" w:right="150"/>
        <w:rPr>
          <w:rFonts w:ascii="Arial" w:eastAsia="Times New Roman" w:hAnsi="Arial" w:cs="Arial"/>
          <w:sz w:val="19"/>
          <w:szCs w:val="19"/>
          <w:lang w:eastAsia="en-GB"/>
        </w:rPr>
      </w:pPr>
      <w:r w:rsidRPr="003E0F56">
        <w:rPr>
          <w:rFonts w:ascii="Arial" w:eastAsia="Times New Roman" w:hAnsi="Arial" w:cs="Arial"/>
          <w:sz w:val="19"/>
          <w:szCs w:val="19"/>
          <w:lang w:eastAsia="en-GB"/>
        </w:rPr>
        <w:t>Fällt diese Fragestellung noch in den Anwendungsbereich des Unionsrechts?</w:t>
      </w:r>
    </w:p>
    <w:p w:rsidR="003E0F56" w:rsidRPr="003E0F56" w:rsidRDefault="003E0F56" w:rsidP="003E0F56">
      <w:pPr>
        <w:spacing w:before="150" w:after="150" w:line="240" w:lineRule="auto"/>
        <w:ind w:left="150" w:right="150"/>
        <w:rPr>
          <w:rFonts w:ascii="Arial" w:eastAsia="Times New Roman" w:hAnsi="Arial" w:cs="Arial"/>
          <w:sz w:val="19"/>
          <w:szCs w:val="19"/>
          <w:lang w:eastAsia="en-GB"/>
        </w:rPr>
      </w:pPr>
      <w:r w:rsidRPr="003E0F56">
        <w:rPr>
          <w:rFonts w:ascii="Arial" w:eastAsia="Times New Roman" w:hAnsi="Arial" w:cs="Arial"/>
          <w:sz w:val="19"/>
          <w:szCs w:val="19"/>
          <w:lang w:eastAsia="en-GB"/>
        </w:rPr>
        <w:lastRenderedPageBreak/>
        <w:t>Nach welchen unionsrechtlichen Maßstäben sind die Lebensverhältnisse des anerkannten international Schutzberechtigten zu beurteilen?</w:t>
      </w:r>
    </w:p>
    <w:p w:rsidR="003E0F56" w:rsidRPr="003E0F56" w:rsidRDefault="003E0F56" w:rsidP="003E0F56">
      <w:pPr>
        <w:spacing w:before="150" w:after="150" w:line="240" w:lineRule="auto"/>
        <w:ind w:left="150" w:right="150"/>
        <w:rPr>
          <w:rFonts w:ascii="Arial" w:eastAsia="Times New Roman" w:hAnsi="Arial" w:cs="Arial"/>
          <w:sz w:val="19"/>
          <w:szCs w:val="19"/>
          <w:lang w:eastAsia="en-GB"/>
        </w:rPr>
      </w:pPr>
      <w:r w:rsidRPr="003E0F56">
        <w:rPr>
          <w:rFonts w:ascii="Arial" w:eastAsia="Times New Roman" w:hAnsi="Arial" w:cs="Arial"/>
          <w:sz w:val="19"/>
          <w:szCs w:val="19"/>
          <w:lang w:eastAsia="en-GB"/>
        </w:rPr>
        <w:t>Der Senat beantragt die Anordnung eines Eilvorabentscheidungsverfahrens.</w:t>
      </w:r>
    </w:p>
    <w:p w:rsidR="003E0F56" w:rsidRPr="003E0F56" w:rsidRDefault="003E0F56" w:rsidP="003E0F56">
      <w:pPr>
        <w:spacing w:before="150" w:after="150" w:line="240" w:lineRule="auto"/>
        <w:ind w:left="150" w:right="150"/>
        <w:jc w:val="center"/>
        <w:rPr>
          <w:rFonts w:ascii="Arial" w:eastAsia="Times New Roman" w:hAnsi="Arial" w:cs="Arial"/>
          <w:b/>
          <w:bCs/>
          <w:sz w:val="24"/>
          <w:szCs w:val="24"/>
          <w:lang w:eastAsia="en-GB"/>
        </w:rPr>
      </w:pPr>
      <w:r w:rsidRPr="003E0F56">
        <w:rPr>
          <w:rFonts w:ascii="Arial" w:eastAsia="Times New Roman" w:hAnsi="Arial" w:cs="Arial"/>
          <w:b/>
          <w:bCs/>
          <w:sz w:val="24"/>
          <w:szCs w:val="24"/>
          <w:lang w:eastAsia="en-GB"/>
        </w:rPr>
        <w:t>Gründe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0"/>
        <w:gridCol w:w="8686"/>
      </w:tblGrid>
      <w:tr w:rsidR="003E0F56" w:rsidRPr="003E0F56" w:rsidTr="003E0F56">
        <w:trPr>
          <w:tblCellSpacing w:w="15" w:type="dxa"/>
        </w:trPr>
        <w:tc>
          <w:tcPr>
            <w:tcW w:w="0" w:type="auto"/>
            <w:vAlign w:val="center"/>
            <w:hideMark/>
          </w:tcPr>
          <w:p w:rsidR="003E0F56" w:rsidRPr="003E0F56" w:rsidRDefault="003E0F56" w:rsidP="003E0F56">
            <w:pPr>
              <w:spacing w:after="0" w:line="302" w:lineRule="atLeast"/>
              <w:rPr>
                <w:rFonts w:ascii="Arial" w:eastAsia="Times New Roman" w:hAnsi="Arial" w:cs="Arial"/>
                <w:lang w:eastAsia="en-GB"/>
              </w:rPr>
            </w:pPr>
            <w:r w:rsidRPr="003E0F56">
              <w:rPr>
                <w:rFonts w:ascii="Arial" w:eastAsia="Times New Roman" w:hAnsi="Arial" w:cs="Arial"/>
                <w:lang w:eastAsia="en-GB"/>
              </w:rPr>
              <w:t> </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E0F56" w:rsidRPr="003E0F56">
              <w:trPr>
                <w:tblCellSpacing w:w="15" w:type="dxa"/>
              </w:trPr>
              <w:tc>
                <w:tcPr>
                  <w:tcW w:w="0" w:type="auto"/>
                  <w:vAlign w:val="center"/>
                  <w:hideMark/>
                </w:tcPr>
                <w:p w:rsidR="003E0F56" w:rsidRPr="003E0F56" w:rsidRDefault="003E0F56" w:rsidP="003E0F56">
                  <w:pPr>
                    <w:spacing w:after="0" w:line="272" w:lineRule="atLeast"/>
                    <w:rPr>
                      <w:rFonts w:ascii="Arial" w:eastAsia="Times New Roman" w:hAnsi="Arial" w:cs="Arial"/>
                      <w:sz w:val="19"/>
                      <w:szCs w:val="19"/>
                      <w:lang w:eastAsia="en-GB"/>
                    </w:rPr>
                  </w:pPr>
                </w:p>
              </w:tc>
            </w:tr>
          </w:tbl>
          <w:p w:rsidR="003E0F56" w:rsidRPr="003E0F56" w:rsidRDefault="003E0F56" w:rsidP="003E0F56">
            <w:pPr>
              <w:spacing w:after="0" w:line="302" w:lineRule="atLeast"/>
              <w:rPr>
                <w:rFonts w:ascii="Arial" w:eastAsia="Times New Roman" w:hAnsi="Arial" w:cs="Arial"/>
                <w:vanish/>
                <w:lang w:eastAsia="en-GB"/>
              </w:rPr>
            </w:pPr>
          </w:p>
          <w:tbl>
            <w:tblPr>
              <w:tblW w:w="0" w:type="auto"/>
              <w:tblCellSpacing w:w="15" w:type="dxa"/>
              <w:tblInd w:w="240" w:type="dxa"/>
              <w:tblCellMar>
                <w:top w:w="15" w:type="dxa"/>
                <w:left w:w="15" w:type="dxa"/>
                <w:bottom w:w="15" w:type="dxa"/>
                <w:right w:w="15" w:type="dxa"/>
              </w:tblCellMar>
              <w:tblLook w:val="04A0" w:firstRow="1" w:lastRow="0" w:firstColumn="1" w:lastColumn="0" w:noHBand="0" w:noVBand="1"/>
            </w:tblPr>
            <w:tblGrid>
              <w:gridCol w:w="196"/>
            </w:tblGrid>
            <w:tr w:rsidR="003E0F56" w:rsidRPr="003E0F56">
              <w:trPr>
                <w:tblCellSpacing w:w="15" w:type="dxa"/>
              </w:trPr>
              <w:tc>
                <w:tcPr>
                  <w:tcW w:w="0" w:type="auto"/>
                  <w:vAlign w:val="center"/>
                  <w:hideMark/>
                </w:tcPr>
                <w:p w:rsidR="003E0F56" w:rsidRPr="003E0F56" w:rsidRDefault="003E0F56" w:rsidP="003E0F56">
                  <w:pPr>
                    <w:spacing w:after="0" w:line="272" w:lineRule="atLeast"/>
                    <w:rPr>
                      <w:rFonts w:ascii="Arial" w:eastAsia="Times New Roman" w:hAnsi="Arial" w:cs="Arial"/>
                      <w:sz w:val="19"/>
                      <w:szCs w:val="19"/>
                      <w:lang w:eastAsia="en-GB"/>
                    </w:rPr>
                  </w:pPr>
                  <w:r w:rsidRPr="003E0F56">
                    <w:rPr>
                      <w:rFonts w:ascii="Arial" w:eastAsia="Times New Roman" w:hAnsi="Arial" w:cs="Arial"/>
                      <w:sz w:val="19"/>
                      <w:szCs w:val="19"/>
                      <w:lang w:eastAsia="en-GB"/>
                    </w:rPr>
                    <w:t>I.</w:t>
                  </w:r>
                </w:p>
              </w:tc>
            </w:tr>
          </w:tbl>
          <w:p w:rsidR="003E0F56" w:rsidRPr="003E0F56" w:rsidRDefault="003E0F56" w:rsidP="003E0F56">
            <w:pPr>
              <w:spacing w:after="0" w:line="302" w:lineRule="atLeast"/>
              <w:rPr>
                <w:rFonts w:ascii="Arial" w:eastAsia="Times New Roman" w:hAnsi="Arial" w:cs="Arial"/>
                <w:lang w:eastAsia="en-GB"/>
              </w:rPr>
            </w:pPr>
          </w:p>
        </w:tc>
      </w:tr>
      <w:tr w:rsidR="003E0F56" w:rsidRPr="003E0F56" w:rsidTr="003E0F56">
        <w:trPr>
          <w:tblCellSpacing w:w="15" w:type="dxa"/>
        </w:trPr>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9"/>
            </w:tblGrid>
            <w:tr w:rsidR="003E0F56" w:rsidRPr="003E0F56">
              <w:trPr>
                <w:tblCellSpacing w:w="15" w:type="dxa"/>
              </w:trPr>
              <w:tc>
                <w:tcPr>
                  <w:tcW w:w="0" w:type="auto"/>
                  <w:vAlign w:val="center"/>
                  <w:hideMark/>
                </w:tcPr>
                <w:p w:rsidR="003E0F56" w:rsidRPr="003E0F56" w:rsidRDefault="003E0F56" w:rsidP="003E0F56">
                  <w:pPr>
                    <w:spacing w:after="0" w:line="272" w:lineRule="atLeast"/>
                    <w:rPr>
                      <w:rFonts w:ascii="Arial" w:eastAsia="Times New Roman" w:hAnsi="Arial" w:cs="Arial"/>
                      <w:sz w:val="19"/>
                      <w:szCs w:val="19"/>
                      <w:lang w:eastAsia="en-GB"/>
                    </w:rPr>
                  </w:pPr>
                  <w:r w:rsidRPr="003E0F56">
                    <w:rPr>
                      <w:rFonts w:ascii="Arial" w:eastAsia="Times New Roman" w:hAnsi="Arial" w:cs="Arial"/>
                      <w:sz w:val="19"/>
                      <w:szCs w:val="19"/>
                      <w:lang w:eastAsia="en-GB"/>
                    </w:rPr>
                    <w:t>1 </w:t>
                  </w:r>
                </w:p>
              </w:tc>
            </w:tr>
          </w:tbl>
          <w:p w:rsidR="003E0F56" w:rsidRPr="003E0F56" w:rsidRDefault="003E0F56" w:rsidP="003E0F56">
            <w:pPr>
              <w:spacing w:after="0" w:line="302" w:lineRule="atLeast"/>
              <w:rPr>
                <w:rFonts w:ascii="Arial" w:eastAsia="Times New Roman" w:hAnsi="Arial" w:cs="Arial"/>
                <w:lang w:eastAsia="en-GB"/>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11"/>
            </w:tblGrid>
            <w:tr w:rsidR="003E0F56" w:rsidRPr="003E0F56">
              <w:trPr>
                <w:tblCellSpacing w:w="15" w:type="dxa"/>
              </w:trPr>
              <w:tc>
                <w:tcPr>
                  <w:tcW w:w="0" w:type="auto"/>
                  <w:vAlign w:val="center"/>
                  <w:hideMark/>
                </w:tcPr>
                <w:p w:rsidR="003E0F56" w:rsidRPr="003E0F56" w:rsidRDefault="003E0F56" w:rsidP="003E0F56">
                  <w:pPr>
                    <w:spacing w:after="0" w:line="272" w:lineRule="atLeast"/>
                    <w:rPr>
                      <w:rFonts w:ascii="Arial" w:eastAsia="Times New Roman" w:hAnsi="Arial" w:cs="Arial"/>
                      <w:sz w:val="19"/>
                      <w:szCs w:val="19"/>
                      <w:lang w:eastAsia="en-GB"/>
                    </w:rPr>
                  </w:pPr>
                  <w:r w:rsidRPr="003E0F56">
                    <w:rPr>
                      <w:rFonts w:ascii="Arial" w:eastAsia="Times New Roman" w:hAnsi="Arial" w:cs="Arial"/>
                      <w:sz w:val="19"/>
                      <w:szCs w:val="19"/>
                      <w:lang w:eastAsia="en-GB"/>
                    </w:rPr>
                    <w:t>Der Kläger ist nach seinen Angaben ein am 23. Oktober 1992 geborener Staatsangehöriger Gambias. Er wendet sich gegen seine Überstellung nach Italien zur Durchführung eines Asylverfahrens.</w:t>
                  </w:r>
                </w:p>
              </w:tc>
            </w:tr>
          </w:tbl>
          <w:p w:rsidR="003E0F56" w:rsidRPr="003E0F56" w:rsidRDefault="003E0F56" w:rsidP="003E0F56">
            <w:pPr>
              <w:spacing w:after="0" w:line="302" w:lineRule="atLeast"/>
              <w:rPr>
                <w:rFonts w:ascii="Arial" w:eastAsia="Times New Roman" w:hAnsi="Arial" w:cs="Arial"/>
                <w:lang w:eastAsia="en-GB"/>
              </w:rPr>
            </w:pPr>
          </w:p>
        </w:tc>
      </w:tr>
      <w:tr w:rsidR="003E0F56" w:rsidRPr="003E0F56" w:rsidTr="003E0F56">
        <w:trPr>
          <w:tblCellSpacing w:w="15" w:type="dxa"/>
        </w:trPr>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9"/>
            </w:tblGrid>
            <w:tr w:rsidR="003E0F56" w:rsidRPr="003E0F56">
              <w:trPr>
                <w:tblCellSpacing w:w="15" w:type="dxa"/>
              </w:trPr>
              <w:tc>
                <w:tcPr>
                  <w:tcW w:w="0" w:type="auto"/>
                  <w:vAlign w:val="center"/>
                  <w:hideMark/>
                </w:tcPr>
                <w:p w:rsidR="003E0F56" w:rsidRPr="003E0F56" w:rsidRDefault="003E0F56" w:rsidP="003E0F56">
                  <w:pPr>
                    <w:spacing w:after="0" w:line="272" w:lineRule="atLeast"/>
                    <w:rPr>
                      <w:rFonts w:ascii="Arial" w:eastAsia="Times New Roman" w:hAnsi="Arial" w:cs="Arial"/>
                      <w:sz w:val="19"/>
                      <w:szCs w:val="19"/>
                      <w:lang w:eastAsia="en-GB"/>
                    </w:rPr>
                  </w:pPr>
                  <w:r w:rsidRPr="003E0F56">
                    <w:rPr>
                      <w:rFonts w:ascii="Arial" w:eastAsia="Times New Roman" w:hAnsi="Arial" w:cs="Arial"/>
                      <w:sz w:val="19"/>
                      <w:szCs w:val="19"/>
                      <w:lang w:eastAsia="en-GB"/>
                    </w:rPr>
                    <w:t>2 </w:t>
                  </w:r>
                </w:p>
              </w:tc>
            </w:tr>
          </w:tbl>
          <w:p w:rsidR="003E0F56" w:rsidRPr="003E0F56" w:rsidRDefault="003E0F56" w:rsidP="003E0F56">
            <w:pPr>
              <w:spacing w:after="0" w:line="302" w:lineRule="atLeast"/>
              <w:rPr>
                <w:rFonts w:ascii="Arial" w:eastAsia="Times New Roman" w:hAnsi="Arial" w:cs="Arial"/>
                <w:lang w:eastAsia="en-GB"/>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11"/>
            </w:tblGrid>
            <w:tr w:rsidR="003E0F56" w:rsidRPr="003E0F56">
              <w:trPr>
                <w:tblCellSpacing w:w="15" w:type="dxa"/>
              </w:trPr>
              <w:tc>
                <w:tcPr>
                  <w:tcW w:w="0" w:type="auto"/>
                  <w:vAlign w:val="center"/>
                  <w:hideMark/>
                </w:tcPr>
                <w:p w:rsidR="003E0F56" w:rsidRPr="003E0F56" w:rsidRDefault="003E0F56" w:rsidP="003E0F56">
                  <w:pPr>
                    <w:spacing w:after="0" w:line="272" w:lineRule="atLeast"/>
                    <w:rPr>
                      <w:rFonts w:ascii="Arial" w:eastAsia="Times New Roman" w:hAnsi="Arial" w:cs="Arial"/>
                      <w:sz w:val="19"/>
                      <w:szCs w:val="19"/>
                      <w:lang w:eastAsia="en-GB"/>
                    </w:rPr>
                  </w:pPr>
                  <w:r w:rsidRPr="003E0F56">
                    <w:rPr>
                      <w:rFonts w:ascii="Arial" w:eastAsia="Times New Roman" w:hAnsi="Arial" w:cs="Arial"/>
                      <w:sz w:val="19"/>
                      <w:szCs w:val="19"/>
                      <w:lang w:eastAsia="en-GB"/>
                    </w:rPr>
                    <w:t>Er stellte am 23. Dezember 2014 einen Asylantrag, nachdem er Gambia am 5. Oktober 2012 verlassen und Italien über den Seeweg erreichte hatte. Von Italien aus reiste er nach Deutschland weiter. Auf Grundlage eines Eurodac-Treffers, wonach er in Italien einen Asylantrag gestellt habe (vgl. Art. 18 Abs. 1 lit. b) VO (EU) 604/2013), ersuchte das Bundesamt für Migration und Flüchtlinge Italien am 26. Januar 2015 um die Wiederaufnahme des Klägers. Eine Reaktion Italiens auf dieses Ersuchen blieb in der Folgezeit aus.</w:t>
                  </w:r>
                </w:p>
              </w:tc>
            </w:tr>
          </w:tbl>
          <w:p w:rsidR="003E0F56" w:rsidRPr="003E0F56" w:rsidRDefault="003E0F56" w:rsidP="003E0F56">
            <w:pPr>
              <w:spacing w:after="0" w:line="302" w:lineRule="atLeast"/>
              <w:rPr>
                <w:rFonts w:ascii="Arial" w:eastAsia="Times New Roman" w:hAnsi="Arial" w:cs="Arial"/>
                <w:lang w:eastAsia="en-GB"/>
              </w:rPr>
            </w:pPr>
          </w:p>
        </w:tc>
      </w:tr>
      <w:tr w:rsidR="003E0F56" w:rsidRPr="003E0F56" w:rsidTr="003E0F56">
        <w:trPr>
          <w:tblCellSpacing w:w="15" w:type="dxa"/>
        </w:trPr>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9"/>
            </w:tblGrid>
            <w:tr w:rsidR="003E0F56" w:rsidRPr="003E0F56">
              <w:trPr>
                <w:tblCellSpacing w:w="15" w:type="dxa"/>
              </w:trPr>
              <w:tc>
                <w:tcPr>
                  <w:tcW w:w="0" w:type="auto"/>
                  <w:vAlign w:val="center"/>
                  <w:hideMark/>
                </w:tcPr>
                <w:p w:rsidR="003E0F56" w:rsidRPr="003E0F56" w:rsidRDefault="003E0F56" w:rsidP="003E0F56">
                  <w:pPr>
                    <w:spacing w:after="0" w:line="272" w:lineRule="atLeast"/>
                    <w:rPr>
                      <w:rFonts w:ascii="Arial" w:eastAsia="Times New Roman" w:hAnsi="Arial" w:cs="Arial"/>
                      <w:sz w:val="19"/>
                      <w:szCs w:val="19"/>
                      <w:lang w:eastAsia="en-GB"/>
                    </w:rPr>
                  </w:pPr>
                  <w:r w:rsidRPr="003E0F56">
                    <w:rPr>
                      <w:rFonts w:ascii="Arial" w:eastAsia="Times New Roman" w:hAnsi="Arial" w:cs="Arial"/>
                      <w:sz w:val="19"/>
                      <w:szCs w:val="19"/>
                      <w:lang w:eastAsia="en-GB"/>
                    </w:rPr>
                    <w:t>3 </w:t>
                  </w:r>
                </w:p>
              </w:tc>
            </w:tr>
          </w:tbl>
          <w:p w:rsidR="003E0F56" w:rsidRPr="003E0F56" w:rsidRDefault="003E0F56" w:rsidP="003E0F56">
            <w:pPr>
              <w:spacing w:after="0" w:line="302" w:lineRule="atLeast"/>
              <w:rPr>
                <w:rFonts w:ascii="Arial" w:eastAsia="Times New Roman" w:hAnsi="Arial" w:cs="Arial"/>
                <w:lang w:eastAsia="en-GB"/>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11"/>
            </w:tblGrid>
            <w:tr w:rsidR="003E0F56" w:rsidRPr="003E0F56">
              <w:trPr>
                <w:tblCellSpacing w:w="15" w:type="dxa"/>
              </w:trPr>
              <w:tc>
                <w:tcPr>
                  <w:tcW w:w="0" w:type="auto"/>
                  <w:vAlign w:val="center"/>
                  <w:hideMark/>
                </w:tcPr>
                <w:p w:rsidR="003E0F56" w:rsidRPr="003E0F56" w:rsidRDefault="003E0F56" w:rsidP="003E0F56">
                  <w:pPr>
                    <w:spacing w:after="0" w:line="272" w:lineRule="atLeast"/>
                    <w:rPr>
                      <w:rFonts w:ascii="Arial" w:eastAsia="Times New Roman" w:hAnsi="Arial" w:cs="Arial"/>
                      <w:sz w:val="19"/>
                      <w:szCs w:val="19"/>
                      <w:lang w:eastAsia="en-GB"/>
                    </w:rPr>
                  </w:pPr>
                  <w:r w:rsidRPr="003E0F56">
                    <w:rPr>
                      <w:rFonts w:ascii="Arial" w:eastAsia="Times New Roman" w:hAnsi="Arial" w:cs="Arial"/>
                      <w:sz w:val="19"/>
                      <w:szCs w:val="19"/>
                      <w:lang w:eastAsia="en-GB"/>
                    </w:rPr>
                    <w:t>Mit Bescheid vom 25. Februar 2015 lehnte das Bundesamt für Migration und Flüchtlinge den Asylantrag des Klägers als unzulässig ab (Nr. 1) und ordnete seine Abschiebung nach Italien an (Nr. 2).</w:t>
                  </w:r>
                </w:p>
              </w:tc>
            </w:tr>
          </w:tbl>
          <w:p w:rsidR="003E0F56" w:rsidRPr="003E0F56" w:rsidRDefault="003E0F56" w:rsidP="003E0F56">
            <w:pPr>
              <w:spacing w:after="0" w:line="302" w:lineRule="atLeast"/>
              <w:rPr>
                <w:rFonts w:ascii="Arial" w:eastAsia="Times New Roman" w:hAnsi="Arial" w:cs="Arial"/>
                <w:lang w:eastAsia="en-GB"/>
              </w:rPr>
            </w:pPr>
          </w:p>
        </w:tc>
      </w:tr>
      <w:tr w:rsidR="003E0F56" w:rsidRPr="003E0F56" w:rsidTr="003E0F56">
        <w:trPr>
          <w:tblCellSpacing w:w="15" w:type="dxa"/>
        </w:trPr>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9"/>
            </w:tblGrid>
            <w:tr w:rsidR="003E0F56" w:rsidRPr="003E0F56">
              <w:trPr>
                <w:tblCellSpacing w:w="15" w:type="dxa"/>
              </w:trPr>
              <w:tc>
                <w:tcPr>
                  <w:tcW w:w="0" w:type="auto"/>
                  <w:vAlign w:val="center"/>
                  <w:hideMark/>
                </w:tcPr>
                <w:p w:rsidR="003E0F56" w:rsidRPr="003E0F56" w:rsidRDefault="003E0F56" w:rsidP="003E0F56">
                  <w:pPr>
                    <w:spacing w:after="0" w:line="272" w:lineRule="atLeast"/>
                    <w:rPr>
                      <w:rFonts w:ascii="Arial" w:eastAsia="Times New Roman" w:hAnsi="Arial" w:cs="Arial"/>
                      <w:sz w:val="19"/>
                      <w:szCs w:val="19"/>
                      <w:lang w:eastAsia="en-GB"/>
                    </w:rPr>
                  </w:pPr>
                  <w:r w:rsidRPr="003E0F56">
                    <w:rPr>
                      <w:rFonts w:ascii="Arial" w:eastAsia="Times New Roman" w:hAnsi="Arial" w:cs="Arial"/>
                      <w:sz w:val="19"/>
                      <w:szCs w:val="19"/>
                      <w:lang w:eastAsia="en-GB"/>
                    </w:rPr>
                    <w:t>4 </w:t>
                  </w:r>
                </w:p>
              </w:tc>
            </w:tr>
          </w:tbl>
          <w:p w:rsidR="003E0F56" w:rsidRPr="003E0F56" w:rsidRDefault="003E0F56" w:rsidP="003E0F56">
            <w:pPr>
              <w:spacing w:after="0" w:line="302" w:lineRule="atLeast"/>
              <w:rPr>
                <w:rFonts w:ascii="Arial" w:eastAsia="Times New Roman" w:hAnsi="Arial" w:cs="Arial"/>
                <w:lang w:eastAsia="en-GB"/>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11"/>
            </w:tblGrid>
            <w:tr w:rsidR="003E0F56" w:rsidRPr="003E0F56">
              <w:trPr>
                <w:tblCellSpacing w:w="15" w:type="dxa"/>
              </w:trPr>
              <w:tc>
                <w:tcPr>
                  <w:tcW w:w="0" w:type="auto"/>
                  <w:vAlign w:val="center"/>
                  <w:hideMark/>
                </w:tcPr>
                <w:p w:rsidR="003E0F56" w:rsidRPr="003E0F56" w:rsidRDefault="003E0F56" w:rsidP="003E0F56">
                  <w:pPr>
                    <w:spacing w:after="0" w:line="272" w:lineRule="atLeast"/>
                    <w:rPr>
                      <w:rFonts w:ascii="Arial" w:eastAsia="Times New Roman" w:hAnsi="Arial" w:cs="Arial"/>
                      <w:sz w:val="19"/>
                      <w:szCs w:val="19"/>
                      <w:lang w:eastAsia="en-GB"/>
                    </w:rPr>
                  </w:pPr>
                  <w:r w:rsidRPr="003E0F56">
                    <w:rPr>
                      <w:rFonts w:ascii="Arial" w:eastAsia="Times New Roman" w:hAnsi="Arial" w:cs="Arial"/>
                      <w:sz w:val="19"/>
                      <w:szCs w:val="19"/>
                      <w:lang w:eastAsia="en-GB"/>
                    </w:rPr>
                    <w:t>Der Kläger erhob am 4. März 2015 Klage und stellte am 12. März 2015 einen Antrag auf Gewährung vorläufigen Rechtsschutzes, den das Verwaltungsgericht Karlsruhe mit Beschluss vom 30. April 2015 als unzulässig ablehnte, weil verspätet gestellt. Auf einen weiteren Eilantrag hin ordnete später das Verwaltungsgericht die aufschiebende Wirkung der Klage mit Beschluss vom 18. Februar 2016 an.</w:t>
                  </w:r>
                </w:p>
              </w:tc>
            </w:tr>
          </w:tbl>
          <w:p w:rsidR="003E0F56" w:rsidRPr="003E0F56" w:rsidRDefault="003E0F56" w:rsidP="003E0F56">
            <w:pPr>
              <w:spacing w:after="0" w:line="302" w:lineRule="atLeast"/>
              <w:rPr>
                <w:rFonts w:ascii="Arial" w:eastAsia="Times New Roman" w:hAnsi="Arial" w:cs="Arial"/>
                <w:lang w:eastAsia="en-GB"/>
              </w:rPr>
            </w:pPr>
          </w:p>
        </w:tc>
      </w:tr>
      <w:tr w:rsidR="003E0F56" w:rsidRPr="003E0F56" w:rsidTr="003E0F56">
        <w:trPr>
          <w:tblCellSpacing w:w="15" w:type="dxa"/>
        </w:trPr>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9"/>
            </w:tblGrid>
            <w:tr w:rsidR="003E0F56" w:rsidRPr="003E0F56">
              <w:trPr>
                <w:tblCellSpacing w:w="15" w:type="dxa"/>
              </w:trPr>
              <w:tc>
                <w:tcPr>
                  <w:tcW w:w="0" w:type="auto"/>
                  <w:vAlign w:val="center"/>
                  <w:hideMark/>
                </w:tcPr>
                <w:p w:rsidR="003E0F56" w:rsidRPr="003E0F56" w:rsidRDefault="003E0F56" w:rsidP="003E0F56">
                  <w:pPr>
                    <w:spacing w:after="0" w:line="272" w:lineRule="atLeast"/>
                    <w:rPr>
                      <w:rFonts w:ascii="Arial" w:eastAsia="Times New Roman" w:hAnsi="Arial" w:cs="Arial"/>
                      <w:sz w:val="19"/>
                      <w:szCs w:val="19"/>
                      <w:lang w:eastAsia="en-GB"/>
                    </w:rPr>
                  </w:pPr>
                  <w:r w:rsidRPr="003E0F56">
                    <w:rPr>
                      <w:rFonts w:ascii="Arial" w:eastAsia="Times New Roman" w:hAnsi="Arial" w:cs="Arial"/>
                      <w:sz w:val="19"/>
                      <w:szCs w:val="19"/>
                      <w:lang w:eastAsia="en-GB"/>
                    </w:rPr>
                    <w:t>5 </w:t>
                  </w:r>
                </w:p>
              </w:tc>
            </w:tr>
          </w:tbl>
          <w:p w:rsidR="003E0F56" w:rsidRPr="003E0F56" w:rsidRDefault="003E0F56" w:rsidP="003E0F56">
            <w:pPr>
              <w:spacing w:after="0" w:line="302" w:lineRule="atLeast"/>
              <w:rPr>
                <w:rFonts w:ascii="Arial" w:eastAsia="Times New Roman" w:hAnsi="Arial" w:cs="Arial"/>
                <w:lang w:eastAsia="en-GB"/>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11"/>
            </w:tblGrid>
            <w:tr w:rsidR="003E0F56" w:rsidRPr="003E0F56">
              <w:trPr>
                <w:tblCellSpacing w:w="15" w:type="dxa"/>
              </w:trPr>
              <w:tc>
                <w:tcPr>
                  <w:tcW w:w="0" w:type="auto"/>
                  <w:vAlign w:val="center"/>
                  <w:hideMark/>
                </w:tcPr>
                <w:p w:rsidR="003E0F56" w:rsidRPr="003E0F56" w:rsidRDefault="003E0F56" w:rsidP="003E0F56">
                  <w:pPr>
                    <w:spacing w:after="0" w:line="272" w:lineRule="atLeast"/>
                    <w:rPr>
                      <w:rFonts w:ascii="Arial" w:eastAsia="Times New Roman" w:hAnsi="Arial" w:cs="Arial"/>
                      <w:sz w:val="19"/>
                      <w:szCs w:val="19"/>
                      <w:lang w:eastAsia="en-GB"/>
                    </w:rPr>
                  </w:pPr>
                  <w:r w:rsidRPr="003E0F56">
                    <w:rPr>
                      <w:rFonts w:ascii="Arial" w:eastAsia="Times New Roman" w:hAnsi="Arial" w:cs="Arial"/>
                      <w:sz w:val="19"/>
                      <w:szCs w:val="19"/>
                      <w:lang w:eastAsia="en-GB"/>
                    </w:rPr>
                    <w:t>Am 8. Juni 2015 sollte der Kläger nach Italien überstellt werden, was jedoch misslang, da er in seinem Wohnbereich in der Gemeinschaftsunterkunft in Heidelberg nicht angetroffen werden konnte. Nach entsprechenden Nachfragen des Regierungspräsidiums Karlsruhe teilte die "Fachstelle für Wohnungsnotfälle" der Stadt Heidelberg unter dem 16. Juni 2015 dem Regierungspräsidium Karlsruhe mit, der Kläger sei seit längerem nicht in der Gemeinschaftsunterkunft anzutreffen, dieses habe der zuständige Hausmeister bestätigt. In der mündlichen Verhandlung des Senates erklärte der Kläger - erstmals im gesamten gerichtlichen Verfahren - hierzu, dass er Anfang Juni zu einem in Freiberg/Neckar lebenden Freund gereist sei, um ihn zu besuchen. Nach etwa ein bis zwei Wochen habe er einen Anruf von seinem Zimmergenossen aus Heidelberg erhalte, dass die Polizei ihn suche. Er habe sich entschieden, nach Heidelberg zurückzugehen, habe aber kein Geld gehabt, um die Rückfahrt zu bezahlen; er habe sich dieses erst leihen müssen: Etwa nach zwei Wochen sei er wieder in Heidelberg gewesen und sei dort zum Sozialamt der Stadt Heidelberg gegangen und habe gefragt, ob er noch sein Zimmer habe, was bejaht worden sei. Darüber, dass er seine längere Abwesenheit melden müsse, habe ihn niemand belehrt.</w:t>
                  </w:r>
                </w:p>
              </w:tc>
            </w:tr>
          </w:tbl>
          <w:p w:rsidR="003E0F56" w:rsidRPr="003E0F56" w:rsidRDefault="003E0F56" w:rsidP="003E0F56">
            <w:pPr>
              <w:spacing w:after="0" w:line="302" w:lineRule="atLeast"/>
              <w:rPr>
                <w:rFonts w:ascii="Arial" w:eastAsia="Times New Roman" w:hAnsi="Arial" w:cs="Arial"/>
                <w:lang w:eastAsia="en-GB"/>
              </w:rPr>
            </w:pPr>
          </w:p>
        </w:tc>
      </w:tr>
      <w:tr w:rsidR="003E0F56" w:rsidRPr="003E0F56" w:rsidTr="003E0F56">
        <w:trPr>
          <w:tblCellSpacing w:w="15" w:type="dxa"/>
        </w:trPr>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9"/>
            </w:tblGrid>
            <w:tr w:rsidR="003E0F56" w:rsidRPr="003E0F56">
              <w:trPr>
                <w:tblCellSpacing w:w="15" w:type="dxa"/>
              </w:trPr>
              <w:tc>
                <w:tcPr>
                  <w:tcW w:w="0" w:type="auto"/>
                  <w:vAlign w:val="center"/>
                  <w:hideMark/>
                </w:tcPr>
                <w:p w:rsidR="003E0F56" w:rsidRPr="003E0F56" w:rsidRDefault="003E0F56" w:rsidP="003E0F56">
                  <w:pPr>
                    <w:spacing w:after="0" w:line="272" w:lineRule="atLeast"/>
                    <w:rPr>
                      <w:rFonts w:ascii="Arial" w:eastAsia="Times New Roman" w:hAnsi="Arial" w:cs="Arial"/>
                      <w:sz w:val="19"/>
                      <w:szCs w:val="19"/>
                      <w:lang w:eastAsia="en-GB"/>
                    </w:rPr>
                  </w:pPr>
                  <w:r w:rsidRPr="003E0F56">
                    <w:rPr>
                      <w:rFonts w:ascii="Arial" w:eastAsia="Times New Roman" w:hAnsi="Arial" w:cs="Arial"/>
                      <w:sz w:val="19"/>
                      <w:szCs w:val="19"/>
                      <w:lang w:eastAsia="en-GB"/>
                    </w:rPr>
                    <w:t>6 </w:t>
                  </w:r>
                </w:p>
              </w:tc>
            </w:tr>
          </w:tbl>
          <w:p w:rsidR="003E0F56" w:rsidRPr="003E0F56" w:rsidRDefault="003E0F56" w:rsidP="003E0F56">
            <w:pPr>
              <w:spacing w:after="0" w:line="302" w:lineRule="atLeast"/>
              <w:rPr>
                <w:rFonts w:ascii="Arial" w:eastAsia="Times New Roman" w:hAnsi="Arial" w:cs="Arial"/>
                <w:lang w:eastAsia="en-GB"/>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11"/>
            </w:tblGrid>
            <w:tr w:rsidR="003E0F56" w:rsidRPr="003E0F56">
              <w:trPr>
                <w:tblCellSpacing w:w="15" w:type="dxa"/>
              </w:trPr>
              <w:tc>
                <w:tcPr>
                  <w:tcW w:w="0" w:type="auto"/>
                  <w:vAlign w:val="center"/>
                  <w:hideMark/>
                </w:tcPr>
                <w:p w:rsidR="003E0F56" w:rsidRPr="003E0F56" w:rsidRDefault="003E0F56" w:rsidP="003E0F56">
                  <w:pPr>
                    <w:spacing w:after="0" w:line="272" w:lineRule="atLeast"/>
                    <w:rPr>
                      <w:rFonts w:ascii="Arial" w:eastAsia="Times New Roman" w:hAnsi="Arial" w:cs="Arial"/>
                      <w:sz w:val="19"/>
                      <w:szCs w:val="19"/>
                      <w:lang w:eastAsia="en-GB"/>
                    </w:rPr>
                  </w:pPr>
                  <w:r w:rsidRPr="003E0F56">
                    <w:rPr>
                      <w:rFonts w:ascii="Arial" w:eastAsia="Times New Roman" w:hAnsi="Arial" w:cs="Arial"/>
                      <w:sz w:val="19"/>
                      <w:szCs w:val="19"/>
                      <w:lang w:eastAsia="en-GB"/>
                    </w:rPr>
                    <w:t>Das Bundesamt für Migration und Flüchtlinge unterrichtete das italienische Innenministerium mit einem Formblatt am 16. Juni 2015, dass eine Überstellung derzeit nicht möglich sei, weil der Kläger flüchtig sei. Dies sei ihm seit dem 16. Juni 2016 bekannt. Weiter heißt es in dem Formular, dass eine Überstellung bis spätestens zum 10. August 2016 "gem. Art. 29 Abs. 2 Dublin-VO" erfolgen werde.</w:t>
                  </w:r>
                </w:p>
              </w:tc>
            </w:tr>
          </w:tbl>
          <w:p w:rsidR="003E0F56" w:rsidRPr="003E0F56" w:rsidRDefault="003E0F56" w:rsidP="003E0F56">
            <w:pPr>
              <w:spacing w:after="0" w:line="302" w:lineRule="atLeast"/>
              <w:rPr>
                <w:rFonts w:ascii="Arial" w:eastAsia="Times New Roman" w:hAnsi="Arial" w:cs="Arial"/>
                <w:lang w:eastAsia="en-GB"/>
              </w:rPr>
            </w:pPr>
          </w:p>
        </w:tc>
      </w:tr>
      <w:tr w:rsidR="003E0F56" w:rsidRPr="003E0F56" w:rsidTr="003E0F56">
        <w:trPr>
          <w:tblCellSpacing w:w="15" w:type="dxa"/>
        </w:trPr>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9"/>
            </w:tblGrid>
            <w:tr w:rsidR="003E0F56" w:rsidRPr="003E0F56">
              <w:trPr>
                <w:tblCellSpacing w:w="15" w:type="dxa"/>
              </w:trPr>
              <w:tc>
                <w:tcPr>
                  <w:tcW w:w="0" w:type="auto"/>
                  <w:vAlign w:val="center"/>
                  <w:hideMark/>
                </w:tcPr>
                <w:p w:rsidR="003E0F56" w:rsidRPr="003E0F56" w:rsidRDefault="003E0F56" w:rsidP="003E0F56">
                  <w:pPr>
                    <w:spacing w:after="0" w:line="272" w:lineRule="atLeast"/>
                    <w:rPr>
                      <w:rFonts w:ascii="Arial" w:eastAsia="Times New Roman" w:hAnsi="Arial" w:cs="Arial"/>
                      <w:sz w:val="19"/>
                      <w:szCs w:val="19"/>
                      <w:lang w:eastAsia="en-GB"/>
                    </w:rPr>
                  </w:pPr>
                  <w:r w:rsidRPr="003E0F56">
                    <w:rPr>
                      <w:rFonts w:ascii="Arial" w:eastAsia="Times New Roman" w:hAnsi="Arial" w:cs="Arial"/>
                      <w:sz w:val="19"/>
                      <w:szCs w:val="19"/>
                      <w:lang w:eastAsia="en-GB"/>
                    </w:rPr>
                    <w:t>7 </w:t>
                  </w:r>
                </w:p>
              </w:tc>
            </w:tr>
          </w:tbl>
          <w:p w:rsidR="003E0F56" w:rsidRPr="003E0F56" w:rsidRDefault="003E0F56" w:rsidP="003E0F56">
            <w:pPr>
              <w:spacing w:after="0" w:line="302" w:lineRule="atLeast"/>
              <w:rPr>
                <w:rFonts w:ascii="Arial" w:eastAsia="Times New Roman" w:hAnsi="Arial" w:cs="Arial"/>
                <w:lang w:eastAsia="en-GB"/>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11"/>
            </w:tblGrid>
            <w:tr w:rsidR="003E0F56" w:rsidRPr="003E0F56">
              <w:trPr>
                <w:tblCellSpacing w:w="15" w:type="dxa"/>
              </w:trPr>
              <w:tc>
                <w:tcPr>
                  <w:tcW w:w="0" w:type="auto"/>
                  <w:vAlign w:val="center"/>
                  <w:hideMark/>
                </w:tcPr>
                <w:p w:rsidR="003E0F56" w:rsidRPr="003E0F56" w:rsidRDefault="003E0F56" w:rsidP="003E0F56">
                  <w:pPr>
                    <w:spacing w:after="0" w:line="272" w:lineRule="atLeast"/>
                    <w:rPr>
                      <w:rFonts w:ascii="Arial" w:eastAsia="Times New Roman" w:hAnsi="Arial" w:cs="Arial"/>
                      <w:sz w:val="19"/>
                      <w:szCs w:val="19"/>
                      <w:lang w:eastAsia="en-GB"/>
                    </w:rPr>
                  </w:pPr>
                  <w:r w:rsidRPr="003E0F56">
                    <w:rPr>
                      <w:rFonts w:ascii="Arial" w:eastAsia="Times New Roman" w:hAnsi="Arial" w:cs="Arial"/>
                      <w:sz w:val="19"/>
                      <w:szCs w:val="19"/>
                      <w:lang w:eastAsia="en-GB"/>
                    </w:rPr>
                    <w:t>Am 3. Februar 2016 sollte der Kläger erneut überstellt werden; die Überstellung scheiterte erneut, weil der Kläger sich weigerte, das Flugzeug zu besteigen.</w:t>
                  </w:r>
                </w:p>
              </w:tc>
            </w:tr>
          </w:tbl>
          <w:p w:rsidR="003E0F56" w:rsidRPr="003E0F56" w:rsidRDefault="003E0F56" w:rsidP="003E0F56">
            <w:pPr>
              <w:spacing w:after="0" w:line="302" w:lineRule="atLeast"/>
              <w:rPr>
                <w:rFonts w:ascii="Arial" w:eastAsia="Times New Roman" w:hAnsi="Arial" w:cs="Arial"/>
                <w:lang w:eastAsia="en-GB"/>
              </w:rPr>
            </w:pPr>
          </w:p>
        </w:tc>
      </w:tr>
      <w:tr w:rsidR="003E0F56" w:rsidRPr="003E0F56" w:rsidTr="003E0F56">
        <w:trPr>
          <w:tblCellSpacing w:w="15" w:type="dxa"/>
        </w:trPr>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9"/>
            </w:tblGrid>
            <w:tr w:rsidR="003E0F56" w:rsidRPr="003E0F56">
              <w:trPr>
                <w:tblCellSpacing w:w="15" w:type="dxa"/>
              </w:trPr>
              <w:tc>
                <w:tcPr>
                  <w:tcW w:w="0" w:type="auto"/>
                  <w:vAlign w:val="center"/>
                  <w:hideMark/>
                </w:tcPr>
                <w:p w:rsidR="003E0F56" w:rsidRPr="003E0F56" w:rsidRDefault="003E0F56" w:rsidP="003E0F56">
                  <w:pPr>
                    <w:spacing w:after="0" w:line="272" w:lineRule="atLeast"/>
                    <w:rPr>
                      <w:rFonts w:ascii="Arial" w:eastAsia="Times New Roman" w:hAnsi="Arial" w:cs="Arial"/>
                      <w:sz w:val="19"/>
                      <w:szCs w:val="19"/>
                      <w:lang w:eastAsia="en-GB"/>
                    </w:rPr>
                  </w:pPr>
                  <w:r w:rsidRPr="003E0F56">
                    <w:rPr>
                      <w:rFonts w:ascii="Arial" w:eastAsia="Times New Roman" w:hAnsi="Arial" w:cs="Arial"/>
                      <w:sz w:val="19"/>
                      <w:szCs w:val="19"/>
                      <w:lang w:eastAsia="en-GB"/>
                    </w:rPr>
                    <w:t>8 </w:t>
                  </w:r>
                </w:p>
              </w:tc>
            </w:tr>
          </w:tbl>
          <w:p w:rsidR="003E0F56" w:rsidRPr="003E0F56" w:rsidRDefault="003E0F56" w:rsidP="003E0F56">
            <w:pPr>
              <w:spacing w:after="0" w:line="302" w:lineRule="atLeast"/>
              <w:rPr>
                <w:rFonts w:ascii="Arial" w:eastAsia="Times New Roman" w:hAnsi="Arial" w:cs="Arial"/>
                <w:lang w:eastAsia="en-GB"/>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16"/>
            </w:tblGrid>
            <w:tr w:rsidR="003E0F56" w:rsidRPr="003E0F56">
              <w:trPr>
                <w:tblCellSpacing w:w="15" w:type="dxa"/>
              </w:trPr>
              <w:tc>
                <w:tcPr>
                  <w:tcW w:w="0" w:type="auto"/>
                  <w:vAlign w:val="center"/>
                  <w:hideMark/>
                </w:tcPr>
                <w:p w:rsidR="003E0F56" w:rsidRPr="003E0F56" w:rsidRDefault="003E0F56" w:rsidP="003E0F56">
                  <w:pPr>
                    <w:spacing w:after="0" w:line="272" w:lineRule="atLeast"/>
                    <w:rPr>
                      <w:rFonts w:ascii="Arial" w:eastAsia="Times New Roman" w:hAnsi="Arial" w:cs="Arial"/>
                      <w:sz w:val="19"/>
                      <w:szCs w:val="19"/>
                      <w:lang w:eastAsia="en-GB"/>
                    </w:rPr>
                  </w:pPr>
                  <w:r w:rsidRPr="003E0F56">
                    <w:rPr>
                      <w:rFonts w:ascii="Arial" w:eastAsia="Times New Roman" w:hAnsi="Arial" w:cs="Arial"/>
                      <w:sz w:val="19"/>
                      <w:szCs w:val="19"/>
                      <w:lang w:eastAsia="en-GB"/>
                    </w:rPr>
                    <w:t>Durch Urteil vom 6. Juni 2016 wies das Verwaltungsgericht die Klage ab.</w:t>
                  </w:r>
                </w:p>
              </w:tc>
            </w:tr>
          </w:tbl>
          <w:p w:rsidR="003E0F56" w:rsidRPr="003E0F56" w:rsidRDefault="003E0F56" w:rsidP="003E0F56">
            <w:pPr>
              <w:spacing w:after="0" w:line="302" w:lineRule="atLeast"/>
              <w:rPr>
                <w:rFonts w:ascii="Arial" w:eastAsia="Times New Roman" w:hAnsi="Arial" w:cs="Arial"/>
                <w:lang w:eastAsia="en-GB"/>
              </w:rPr>
            </w:pPr>
          </w:p>
        </w:tc>
      </w:tr>
      <w:tr w:rsidR="003E0F56" w:rsidRPr="003E0F56" w:rsidTr="003E0F56">
        <w:trPr>
          <w:tblCellSpacing w:w="15" w:type="dxa"/>
        </w:trPr>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9"/>
            </w:tblGrid>
            <w:tr w:rsidR="003E0F56" w:rsidRPr="003E0F56">
              <w:trPr>
                <w:tblCellSpacing w:w="15" w:type="dxa"/>
              </w:trPr>
              <w:tc>
                <w:tcPr>
                  <w:tcW w:w="0" w:type="auto"/>
                  <w:vAlign w:val="center"/>
                  <w:hideMark/>
                </w:tcPr>
                <w:p w:rsidR="003E0F56" w:rsidRPr="003E0F56" w:rsidRDefault="003E0F56" w:rsidP="003E0F56">
                  <w:pPr>
                    <w:spacing w:after="0" w:line="272" w:lineRule="atLeast"/>
                    <w:rPr>
                      <w:rFonts w:ascii="Arial" w:eastAsia="Times New Roman" w:hAnsi="Arial" w:cs="Arial"/>
                      <w:sz w:val="19"/>
                      <w:szCs w:val="19"/>
                      <w:lang w:eastAsia="en-GB"/>
                    </w:rPr>
                  </w:pPr>
                  <w:r w:rsidRPr="003E0F56">
                    <w:rPr>
                      <w:rFonts w:ascii="Arial" w:eastAsia="Times New Roman" w:hAnsi="Arial" w:cs="Arial"/>
                      <w:sz w:val="19"/>
                      <w:szCs w:val="19"/>
                      <w:lang w:eastAsia="en-GB"/>
                    </w:rPr>
                    <w:t>9 </w:t>
                  </w:r>
                </w:p>
              </w:tc>
            </w:tr>
          </w:tbl>
          <w:p w:rsidR="003E0F56" w:rsidRPr="003E0F56" w:rsidRDefault="003E0F56" w:rsidP="003E0F56">
            <w:pPr>
              <w:spacing w:after="0" w:line="302" w:lineRule="atLeast"/>
              <w:rPr>
                <w:rFonts w:ascii="Arial" w:eastAsia="Times New Roman" w:hAnsi="Arial" w:cs="Arial"/>
                <w:lang w:eastAsia="en-GB"/>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11"/>
            </w:tblGrid>
            <w:tr w:rsidR="003E0F56" w:rsidRPr="003E0F56">
              <w:trPr>
                <w:tblCellSpacing w:w="15" w:type="dxa"/>
              </w:trPr>
              <w:tc>
                <w:tcPr>
                  <w:tcW w:w="0" w:type="auto"/>
                  <w:vAlign w:val="center"/>
                  <w:hideMark/>
                </w:tcPr>
                <w:p w:rsidR="003E0F56" w:rsidRPr="003E0F56" w:rsidRDefault="003E0F56" w:rsidP="003E0F56">
                  <w:pPr>
                    <w:spacing w:after="0" w:line="272" w:lineRule="atLeast"/>
                    <w:rPr>
                      <w:rFonts w:ascii="Arial" w:eastAsia="Times New Roman" w:hAnsi="Arial" w:cs="Arial"/>
                      <w:sz w:val="19"/>
                      <w:szCs w:val="19"/>
                      <w:lang w:val="fr-BE" w:eastAsia="en-GB"/>
                    </w:rPr>
                  </w:pPr>
                  <w:r w:rsidRPr="003E0F56">
                    <w:rPr>
                      <w:rFonts w:ascii="Arial" w:eastAsia="Times New Roman" w:hAnsi="Arial" w:cs="Arial"/>
                      <w:sz w:val="19"/>
                      <w:szCs w:val="19"/>
                      <w:lang w:val="fr-BE" w:eastAsia="en-GB"/>
                    </w:rPr>
                    <w:t xml:space="preserve">Auf den Antrag des Klägers ließ der Senat die Berufung zu. Im Berufungsverfahren vertritt der Kläger nach wie vor die Auffassung, er sei im Juni 2015 nicht flüchtig gewesen, auch habe das Bundesamt </w:t>
                  </w:r>
                  <w:r w:rsidRPr="003E0F56">
                    <w:rPr>
                      <w:rFonts w:ascii="Arial" w:eastAsia="Times New Roman" w:hAnsi="Arial" w:cs="Arial"/>
                      <w:sz w:val="19"/>
                      <w:szCs w:val="19"/>
                      <w:lang w:val="fr-BE" w:eastAsia="en-GB"/>
                    </w:rPr>
                    <w:lastRenderedPageBreak/>
                    <w:t>die Fristverlängerung nicht, wie geschehen, bewirken können. Die Verfügung sein auch deshalb aufzuheben, weil bislang keine seit 6. August 2016 erforderliche Entscheidung zum Vorliegen eines nationalen Abschiebungsverbots erfolgt sei. Eine Überstellung nach Italien sei auch deshalb unzulässig, weil das Asylverfahren und die Aufnahmebedingungen dort systemischen Schwachstellen im Sinne des Art. 3 Abs. 2 UA 2 VO (EU) Nr. 604/2013 aufweise. Schließlich sei die Abschiebungsanordnung im Hinblick auf seine mit Erlaubnis der Ausländerbehörde aufgenommene Ausbildung aufzuheben.</w:t>
                  </w:r>
                </w:p>
              </w:tc>
            </w:tr>
          </w:tbl>
          <w:p w:rsidR="003E0F56" w:rsidRPr="003E0F56" w:rsidRDefault="003E0F56" w:rsidP="003E0F56">
            <w:pPr>
              <w:spacing w:after="0" w:line="302" w:lineRule="atLeast"/>
              <w:rPr>
                <w:rFonts w:ascii="Arial" w:eastAsia="Times New Roman" w:hAnsi="Arial" w:cs="Arial"/>
                <w:lang w:val="fr-BE" w:eastAsia="en-GB"/>
              </w:rPr>
            </w:pPr>
          </w:p>
        </w:tc>
      </w:tr>
      <w:tr w:rsidR="003E0F56" w:rsidRPr="003E0F56" w:rsidTr="003E0F56">
        <w:trPr>
          <w:tblCellSpacing w:w="15" w:type="dxa"/>
        </w:trPr>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5"/>
            </w:tblGrid>
            <w:tr w:rsidR="003E0F56" w:rsidRPr="003E0F56">
              <w:trPr>
                <w:tblCellSpacing w:w="15" w:type="dxa"/>
              </w:trPr>
              <w:tc>
                <w:tcPr>
                  <w:tcW w:w="0" w:type="auto"/>
                  <w:vAlign w:val="center"/>
                  <w:hideMark/>
                </w:tcPr>
                <w:p w:rsidR="003E0F56" w:rsidRPr="003E0F56" w:rsidRDefault="003E0F56" w:rsidP="003E0F56">
                  <w:pPr>
                    <w:spacing w:after="0" w:line="272" w:lineRule="atLeast"/>
                    <w:rPr>
                      <w:rFonts w:ascii="Arial" w:eastAsia="Times New Roman" w:hAnsi="Arial" w:cs="Arial"/>
                      <w:sz w:val="19"/>
                      <w:szCs w:val="19"/>
                      <w:lang w:eastAsia="en-GB"/>
                    </w:rPr>
                  </w:pPr>
                  <w:r w:rsidRPr="003E0F56">
                    <w:rPr>
                      <w:rFonts w:ascii="Arial" w:eastAsia="Times New Roman" w:hAnsi="Arial" w:cs="Arial"/>
                      <w:sz w:val="19"/>
                      <w:szCs w:val="19"/>
                      <w:lang w:eastAsia="en-GB"/>
                    </w:rPr>
                    <w:lastRenderedPageBreak/>
                    <w:t>10 </w:t>
                  </w:r>
                </w:p>
              </w:tc>
            </w:tr>
          </w:tbl>
          <w:p w:rsidR="003E0F56" w:rsidRPr="003E0F56" w:rsidRDefault="003E0F56" w:rsidP="003E0F56">
            <w:pPr>
              <w:spacing w:after="0" w:line="302" w:lineRule="atLeast"/>
              <w:rPr>
                <w:rFonts w:ascii="Arial" w:eastAsia="Times New Roman" w:hAnsi="Arial" w:cs="Arial"/>
                <w:lang w:eastAsia="en-GB"/>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11"/>
            </w:tblGrid>
            <w:tr w:rsidR="003E0F56" w:rsidRPr="003E0F56">
              <w:trPr>
                <w:tblCellSpacing w:w="15" w:type="dxa"/>
              </w:trPr>
              <w:tc>
                <w:tcPr>
                  <w:tcW w:w="0" w:type="auto"/>
                  <w:vAlign w:val="center"/>
                  <w:hideMark/>
                </w:tcPr>
                <w:p w:rsidR="003E0F56" w:rsidRPr="003E0F56" w:rsidRDefault="003E0F56" w:rsidP="003E0F56">
                  <w:pPr>
                    <w:spacing w:after="0" w:line="272" w:lineRule="atLeast"/>
                    <w:rPr>
                      <w:rFonts w:ascii="Arial" w:eastAsia="Times New Roman" w:hAnsi="Arial" w:cs="Arial"/>
                      <w:sz w:val="19"/>
                      <w:szCs w:val="19"/>
                      <w:lang w:eastAsia="en-GB"/>
                    </w:rPr>
                  </w:pPr>
                  <w:r w:rsidRPr="003E0F56">
                    <w:rPr>
                      <w:rFonts w:ascii="Arial" w:eastAsia="Times New Roman" w:hAnsi="Arial" w:cs="Arial"/>
                      <w:sz w:val="19"/>
                      <w:szCs w:val="19"/>
                      <w:lang w:eastAsia="en-GB"/>
                    </w:rPr>
                    <w:t>Während des Berufungsverfahrens konnte das Bundesamt in Erfahrung bringen, dass dem Kläger in Italien ein nationaler Aufenthaltstitel aus humanitären Gründen erteilt worden war, der ein Jahr gültig und am 9. Mai 2015 abgelaufen war.</w:t>
                  </w:r>
                </w:p>
              </w:tc>
            </w:tr>
          </w:tbl>
          <w:p w:rsidR="003E0F56" w:rsidRPr="003E0F56" w:rsidRDefault="003E0F56" w:rsidP="003E0F56">
            <w:pPr>
              <w:spacing w:after="0" w:line="302" w:lineRule="atLeast"/>
              <w:rPr>
                <w:rFonts w:ascii="Arial" w:eastAsia="Times New Roman" w:hAnsi="Arial" w:cs="Arial"/>
                <w:vanish/>
                <w:lang w:eastAsia="en-GB"/>
              </w:rPr>
            </w:pPr>
          </w:p>
          <w:tbl>
            <w:tblPr>
              <w:tblW w:w="0" w:type="auto"/>
              <w:tblCellSpacing w:w="15" w:type="dxa"/>
              <w:tblInd w:w="240" w:type="dxa"/>
              <w:tblCellMar>
                <w:top w:w="15" w:type="dxa"/>
                <w:left w:w="15" w:type="dxa"/>
                <w:bottom w:w="15" w:type="dxa"/>
                <w:right w:w="15" w:type="dxa"/>
              </w:tblCellMar>
              <w:tblLook w:val="04A0" w:firstRow="1" w:lastRow="0" w:firstColumn="1" w:lastColumn="0" w:noHBand="0" w:noVBand="1"/>
            </w:tblPr>
            <w:tblGrid>
              <w:gridCol w:w="249"/>
            </w:tblGrid>
            <w:tr w:rsidR="003E0F56" w:rsidRPr="003E0F56">
              <w:trPr>
                <w:tblCellSpacing w:w="15" w:type="dxa"/>
              </w:trPr>
              <w:tc>
                <w:tcPr>
                  <w:tcW w:w="0" w:type="auto"/>
                  <w:vAlign w:val="center"/>
                  <w:hideMark/>
                </w:tcPr>
                <w:p w:rsidR="003E0F56" w:rsidRPr="003E0F56" w:rsidRDefault="003E0F56" w:rsidP="003E0F56">
                  <w:pPr>
                    <w:spacing w:after="0" w:line="272" w:lineRule="atLeast"/>
                    <w:rPr>
                      <w:rFonts w:ascii="Arial" w:eastAsia="Times New Roman" w:hAnsi="Arial" w:cs="Arial"/>
                      <w:sz w:val="19"/>
                      <w:szCs w:val="19"/>
                      <w:lang w:eastAsia="en-GB"/>
                    </w:rPr>
                  </w:pPr>
                  <w:r w:rsidRPr="003E0F56">
                    <w:rPr>
                      <w:rFonts w:ascii="Arial" w:eastAsia="Times New Roman" w:hAnsi="Arial" w:cs="Arial"/>
                      <w:sz w:val="19"/>
                      <w:szCs w:val="19"/>
                      <w:lang w:eastAsia="en-GB"/>
                    </w:rPr>
                    <w:t>II.</w:t>
                  </w:r>
                </w:p>
              </w:tc>
            </w:tr>
          </w:tbl>
          <w:p w:rsidR="003E0F56" w:rsidRPr="003E0F56" w:rsidRDefault="003E0F56" w:rsidP="003E0F56">
            <w:pPr>
              <w:spacing w:after="0" w:line="302" w:lineRule="atLeast"/>
              <w:rPr>
                <w:rFonts w:ascii="Arial" w:eastAsia="Times New Roman" w:hAnsi="Arial" w:cs="Arial"/>
                <w:lang w:eastAsia="en-GB"/>
              </w:rPr>
            </w:pPr>
          </w:p>
        </w:tc>
      </w:tr>
      <w:tr w:rsidR="003E0F56" w:rsidRPr="003E0F56" w:rsidTr="003E0F56">
        <w:trPr>
          <w:tblCellSpacing w:w="15" w:type="dxa"/>
        </w:trPr>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5"/>
            </w:tblGrid>
            <w:tr w:rsidR="003E0F56" w:rsidRPr="003E0F56">
              <w:trPr>
                <w:tblCellSpacing w:w="15" w:type="dxa"/>
              </w:trPr>
              <w:tc>
                <w:tcPr>
                  <w:tcW w:w="0" w:type="auto"/>
                  <w:vAlign w:val="center"/>
                  <w:hideMark/>
                </w:tcPr>
                <w:p w:rsidR="003E0F56" w:rsidRPr="003E0F56" w:rsidRDefault="003E0F56" w:rsidP="003E0F56">
                  <w:pPr>
                    <w:spacing w:after="0" w:line="272" w:lineRule="atLeast"/>
                    <w:rPr>
                      <w:rFonts w:ascii="Arial" w:eastAsia="Times New Roman" w:hAnsi="Arial" w:cs="Arial"/>
                      <w:sz w:val="19"/>
                      <w:szCs w:val="19"/>
                      <w:lang w:eastAsia="en-GB"/>
                    </w:rPr>
                  </w:pPr>
                  <w:r w:rsidRPr="003E0F56">
                    <w:rPr>
                      <w:rFonts w:ascii="Arial" w:eastAsia="Times New Roman" w:hAnsi="Arial" w:cs="Arial"/>
                      <w:sz w:val="19"/>
                      <w:szCs w:val="19"/>
                      <w:lang w:eastAsia="en-GB"/>
                    </w:rPr>
                    <w:t>11 </w:t>
                  </w:r>
                </w:p>
              </w:tc>
            </w:tr>
          </w:tbl>
          <w:p w:rsidR="003E0F56" w:rsidRPr="003E0F56" w:rsidRDefault="003E0F56" w:rsidP="003E0F56">
            <w:pPr>
              <w:spacing w:after="0" w:line="302" w:lineRule="atLeast"/>
              <w:rPr>
                <w:rFonts w:ascii="Arial" w:eastAsia="Times New Roman" w:hAnsi="Arial" w:cs="Arial"/>
                <w:lang w:eastAsia="en-GB"/>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11"/>
            </w:tblGrid>
            <w:tr w:rsidR="003E0F56" w:rsidRPr="003E0F56">
              <w:trPr>
                <w:tblCellSpacing w:w="15" w:type="dxa"/>
              </w:trPr>
              <w:tc>
                <w:tcPr>
                  <w:tcW w:w="0" w:type="auto"/>
                  <w:vAlign w:val="center"/>
                  <w:hideMark/>
                </w:tcPr>
                <w:p w:rsidR="003E0F56" w:rsidRPr="003E0F56" w:rsidRDefault="003E0F56" w:rsidP="003E0F56">
                  <w:pPr>
                    <w:spacing w:after="0" w:line="272" w:lineRule="atLeast"/>
                    <w:rPr>
                      <w:rFonts w:ascii="Arial" w:eastAsia="Times New Roman" w:hAnsi="Arial" w:cs="Arial"/>
                      <w:sz w:val="19"/>
                      <w:szCs w:val="19"/>
                      <w:lang w:eastAsia="en-GB"/>
                    </w:rPr>
                  </w:pPr>
                  <w:r w:rsidRPr="003E0F56">
                    <w:rPr>
                      <w:rFonts w:ascii="Arial" w:eastAsia="Times New Roman" w:hAnsi="Arial" w:cs="Arial"/>
                      <w:sz w:val="19"/>
                      <w:szCs w:val="19"/>
                      <w:lang w:eastAsia="en-GB"/>
                    </w:rPr>
                    <w:t>Der Senat setzt den Rechtsstreit aus, um eine Vorabentscheidung des Gerichtshofs der Europäischen Union (im Folgenden: EuGH) zu den im Tenor formulierten Fragen einzuholen. Die Fragen betreffen die Auslegung von Unionsrecht, insbesondere Art. Art. 3 Abs. 2 Unterabs. 2 und Art. 29 Abs. 2 VO (EU) 604/2013.</w:t>
                  </w:r>
                </w:p>
              </w:tc>
            </w:tr>
          </w:tbl>
          <w:p w:rsidR="003E0F56" w:rsidRPr="003E0F56" w:rsidRDefault="003E0F56" w:rsidP="003E0F56">
            <w:pPr>
              <w:spacing w:after="0" w:line="302" w:lineRule="atLeast"/>
              <w:rPr>
                <w:rFonts w:ascii="Arial" w:eastAsia="Times New Roman" w:hAnsi="Arial" w:cs="Arial"/>
                <w:lang w:eastAsia="en-GB"/>
              </w:rPr>
            </w:pPr>
          </w:p>
        </w:tc>
      </w:tr>
      <w:tr w:rsidR="003E0F56" w:rsidRPr="003E0F56" w:rsidTr="003E0F56">
        <w:trPr>
          <w:tblCellSpacing w:w="15" w:type="dxa"/>
        </w:trPr>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5"/>
            </w:tblGrid>
            <w:tr w:rsidR="003E0F56" w:rsidRPr="003E0F56">
              <w:trPr>
                <w:tblCellSpacing w:w="15" w:type="dxa"/>
              </w:trPr>
              <w:tc>
                <w:tcPr>
                  <w:tcW w:w="0" w:type="auto"/>
                  <w:vAlign w:val="center"/>
                  <w:hideMark/>
                </w:tcPr>
                <w:p w:rsidR="003E0F56" w:rsidRPr="003E0F56" w:rsidRDefault="003E0F56" w:rsidP="003E0F56">
                  <w:pPr>
                    <w:spacing w:after="0" w:line="272" w:lineRule="atLeast"/>
                    <w:rPr>
                      <w:rFonts w:ascii="Arial" w:eastAsia="Times New Roman" w:hAnsi="Arial" w:cs="Arial"/>
                      <w:sz w:val="19"/>
                      <w:szCs w:val="19"/>
                      <w:lang w:eastAsia="en-GB"/>
                    </w:rPr>
                  </w:pPr>
                  <w:r w:rsidRPr="003E0F56">
                    <w:rPr>
                      <w:rFonts w:ascii="Arial" w:eastAsia="Times New Roman" w:hAnsi="Arial" w:cs="Arial"/>
                      <w:sz w:val="19"/>
                      <w:szCs w:val="19"/>
                      <w:lang w:eastAsia="en-GB"/>
                    </w:rPr>
                    <w:t>12 </w:t>
                  </w:r>
                </w:p>
              </w:tc>
            </w:tr>
          </w:tbl>
          <w:p w:rsidR="003E0F56" w:rsidRPr="003E0F56" w:rsidRDefault="003E0F56" w:rsidP="003E0F56">
            <w:pPr>
              <w:spacing w:after="0" w:line="302" w:lineRule="atLeast"/>
              <w:rPr>
                <w:rFonts w:ascii="Arial" w:eastAsia="Times New Roman" w:hAnsi="Arial" w:cs="Arial"/>
                <w:lang w:eastAsia="en-GB"/>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38"/>
            </w:tblGrid>
            <w:tr w:rsidR="003E0F56" w:rsidRPr="003E0F56">
              <w:trPr>
                <w:tblCellSpacing w:w="15" w:type="dxa"/>
              </w:trPr>
              <w:tc>
                <w:tcPr>
                  <w:tcW w:w="0" w:type="auto"/>
                  <w:vAlign w:val="center"/>
                  <w:hideMark/>
                </w:tcPr>
                <w:p w:rsidR="003E0F56" w:rsidRPr="003E0F56" w:rsidRDefault="003E0F56" w:rsidP="003E0F56">
                  <w:pPr>
                    <w:spacing w:after="0" w:line="272" w:lineRule="atLeast"/>
                    <w:rPr>
                      <w:rFonts w:ascii="Arial" w:eastAsia="Times New Roman" w:hAnsi="Arial" w:cs="Arial"/>
                      <w:sz w:val="19"/>
                      <w:szCs w:val="19"/>
                      <w:lang w:eastAsia="en-GB"/>
                    </w:rPr>
                  </w:pPr>
                  <w:r w:rsidRPr="003E0F56">
                    <w:rPr>
                      <w:rFonts w:ascii="Arial" w:eastAsia="Times New Roman" w:hAnsi="Arial" w:cs="Arial"/>
                      <w:sz w:val="19"/>
                      <w:szCs w:val="19"/>
                      <w:lang w:eastAsia="en-GB"/>
                    </w:rPr>
                    <w:t>1.Folgende nationale Vorschriften bilden rechtlichen Rahmen des vorliegenden Rechtsstreits:</w:t>
                  </w:r>
                </w:p>
              </w:tc>
            </w:tr>
          </w:tbl>
          <w:p w:rsidR="003E0F56" w:rsidRPr="003E0F56" w:rsidRDefault="003E0F56" w:rsidP="003E0F56">
            <w:pPr>
              <w:spacing w:after="0" w:line="302" w:lineRule="atLeast"/>
              <w:rPr>
                <w:rFonts w:ascii="Arial" w:eastAsia="Times New Roman" w:hAnsi="Arial" w:cs="Arial"/>
                <w:lang w:eastAsia="en-GB"/>
              </w:rPr>
            </w:pPr>
          </w:p>
        </w:tc>
      </w:tr>
      <w:tr w:rsidR="003E0F56" w:rsidRPr="003E0F56" w:rsidTr="003E0F56">
        <w:trPr>
          <w:tblCellSpacing w:w="15" w:type="dxa"/>
        </w:trPr>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5"/>
            </w:tblGrid>
            <w:tr w:rsidR="003E0F56" w:rsidRPr="003E0F56">
              <w:trPr>
                <w:tblCellSpacing w:w="15" w:type="dxa"/>
              </w:trPr>
              <w:tc>
                <w:tcPr>
                  <w:tcW w:w="0" w:type="auto"/>
                  <w:vAlign w:val="center"/>
                  <w:hideMark/>
                </w:tcPr>
                <w:p w:rsidR="003E0F56" w:rsidRPr="003E0F56" w:rsidRDefault="003E0F56" w:rsidP="003E0F56">
                  <w:pPr>
                    <w:spacing w:after="0" w:line="272" w:lineRule="atLeast"/>
                    <w:rPr>
                      <w:rFonts w:ascii="Arial" w:eastAsia="Times New Roman" w:hAnsi="Arial" w:cs="Arial"/>
                      <w:sz w:val="19"/>
                      <w:szCs w:val="19"/>
                      <w:lang w:eastAsia="en-GB"/>
                    </w:rPr>
                  </w:pPr>
                  <w:r w:rsidRPr="003E0F56">
                    <w:rPr>
                      <w:rFonts w:ascii="Arial" w:eastAsia="Times New Roman" w:hAnsi="Arial" w:cs="Arial"/>
                      <w:sz w:val="19"/>
                      <w:szCs w:val="19"/>
                      <w:lang w:eastAsia="en-GB"/>
                    </w:rPr>
                    <w:t>13 </w:t>
                  </w:r>
                </w:p>
              </w:tc>
            </w:tr>
          </w:tbl>
          <w:p w:rsidR="003E0F56" w:rsidRPr="003E0F56" w:rsidRDefault="003E0F56" w:rsidP="003E0F56">
            <w:pPr>
              <w:spacing w:after="0" w:line="302" w:lineRule="atLeast"/>
              <w:rPr>
                <w:rFonts w:ascii="Arial" w:eastAsia="Times New Roman" w:hAnsi="Arial" w:cs="Arial"/>
                <w:lang w:eastAsia="en-GB"/>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87"/>
            </w:tblGrid>
            <w:tr w:rsidR="003E0F56" w:rsidRPr="003E0F56">
              <w:trPr>
                <w:tblCellSpacing w:w="15" w:type="dxa"/>
              </w:trPr>
              <w:tc>
                <w:tcPr>
                  <w:tcW w:w="0" w:type="auto"/>
                  <w:vAlign w:val="center"/>
                  <w:hideMark/>
                </w:tcPr>
                <w:p w:rsidR="003E0F56" w:rsidRPr="003E0F56" w:rsidRDefault="003E0F56" w:rsidP="003E0F56">
                  <w:pPr>
                    <w:spacing w:after="0" w:line="272" w:lineRule="atLeast"/>
                    <w:rPr>
                      <w:rFonts w:ascii="Arial" w:eastAsia="Times New Roman" w:hAnsi="Arial" w:cs="Arial"/>
                      <w:sz w:val="19"/>
                      <w:szCs w:val="19"/>
                      <w:lang w:eastAsia="en-GB"/>
                    </w:rPr>
                  </w:pPr>
                  <w:r w:rsidRPr="003E0F56">
                    <w:rPr>
                      <w:rFonts w:ascii="Arial" w:eastAsia="Times New Roman" w:hAnsi="Arial" w:cs="Arial"/>
                      <w:b/>
                      <w:bCs/>
                      <w:sz w:val="19"/>
                      <w:szCs w:val="19"/>
                      <w:lang w:eastAsia="en-GB"/>
                    </w:rPr>
                    <w:t>§ 60a Aufenthaltsgesetz i.d.F.v. 31.07.2016 (BGBl. I, S. 1939)</w:t>
                  </w:r>
                </w:p>
              </w:tc>
            </w:tr>
          </w:tbl>
          <w:p w:rsidR="003E0F56" w:rsidRPr="003E0F56" w:rsidRDefault="003E0F56" w:rsidP="003E0F56">
            <w:pPr>
              <w:spacing w:after="0" w:line="302" w:lineRule="atLeast"/>
              <w:rPr>
                <w:rFonts w:ascii="Arial" w:eastAsia="Times New Roman" w:hAnsi="Arial" w:cs="Arial"/>
                <w:vanish/>
                <w:lang w:eastAsia="en-GB"/>
              </w:rPr>
            </w:pPr>
          </w:p>
          <w:tbl>
            <w:tblPr>
              <w:tblW w:w="0" w:type="auto"/>
              <w:tblCellSpacing w:w="15" w:type="dxa"/>
              <w:tblInd w:w="120" w:type="dxa"/>
              <w:tblCellMar>
                <w:top w:w="15" w:type="dxa"/>
                <w:left w:w="15" w:type="dxa"/>
                <w:bottom w:w="15" w:type="dxa"/>
                <w:right w:w="15" w:type="dxa"/>
              </w:tblCellMar>
              <w:tblLook w:val="04A0" w:firstRow="1" w:lastRow="0" w:firstColumn="1" w:lastColumn="0" w:noHBand="0" w:noVBand="1"/>
            </w:tblPr>
            <w:tblGrid>
              <w:gridCol w:w="5284"/>
            </w:tblGrid>
            <w:tr w:rsidR="003E0F56" w:rsidRPr="003E0F56">
              <w:trPr>
                <w:tblCellSpacing w:w="15" w:type="dxa"/>
              </w:trPr>
              <w:tc>
                <w:tcPr>
                  <w:tcW w:w="0" w:type="auto"/>
                  <w:vAlign w:val="center"/>
                  <w:hideMark/>
                </w:tcPr>
                <w:p w:rsidR="003E0F56" w:rsidRPr="003E0F56" w:rsidRDefault="003E0F56" w:rsidP="003E0F56">
                  <w:pPr>
                    <w:spacing w:after="0" w:line="272" w:lineRule="atLeast"/>
                    <w:rPr>
                      <w:rFonts w:ascii="Arial" w:eastAsia="Times New Roman" w:hAnsi="Arial" w:cs="Arial"/>
                      <w:sz w:val="19"/>
                      <w:szCs w:val="19"/>
                      <w:lang w:eastAsia="en-GB"/>
                    </w:rPr>
                  </w:pPr>
                  <w:r w:rsidRPr="003E0F56">
                    <w:rPr>
                      <w:rFonts w:ascii="Arial" w:eastAsia="Times New Roman" w:hAnsi="Arial" w:cs="Arial"/>
                      <w:b/>
                      <w:bCs/>
                      <w:sz w:val="19"/>
                      <w:szCs w:val="19"/>
                      <w:lang w:eastAsia="en-GB"/>
                    </w:rPr>
                    <w:t>Vorübergehende Aussetzung der Abschiebung (Duldung)</w:t>
                  </w:r>
                </w:p>
              </w:tc>
            </w:tr>
          </w:tbl>
          <w:p w:rsidR="003E0F56" w:rsidRPr="003E0F56" w:rsidRDefault="003E0F56" w:rsidP="003E0F56">
            <w:pPr>
              <w:spacing w:after="0" w:line="302" w:lineRule="atLeast"/>
              <w:rPr>
                <w:rFonts w:ascii="Arial" w:eastAsia="Times New Roman" w:hAnsi="Arial" w:cs="Arial"/>
                <w:vanish/>
                <w:lang w:eastAsia="en-GB"/>
              </w:rPr>
            </w:pPr>
          </w:p>
          <w:tbl>
            <w:tblPr>
              <w:tblW w:w="0" w:type="auto"/>
              <w:tblCellSpacing w:w="15" w:type="dxa"/>
              <w:tblInd w:w="120" w:type="dxa"/>
              <w:tblCellMar>
                <w:top w:w="15" w:type="dxa"/>
                <w:left w:w="15" w:type="dxa"/>
                <w:bottom w:w="15" w:type="dxa"/>
                <w:right w:w="15" w:type="dxa"/>
              </w:tblCellMar>
              <w:tblLook w:val="04A0" w:firstRow="1" w:lastRow="0" w:firstColumn="1" w:lastColumn="0" w:noHBand="0" w:noVBand="1"/>
            </w:tblPr>
            <w:tblGrid>
              <w:gridCol w:w="280"/>
            </w:tblGrid>
            <w:tr w:rsidR="003E0F56" w:rsidRPr="003E0F56">
              <w:trPr>
                <w:tblCellSpacing w:w="15" w:type="dxa"/>
              </w:trPr>
              <w:tc>
                <w:tcPr>
                  <w:tcW w:w="0" w:type="auto"/>
                  <w:vAlign w:val="center"/>
                  <w:hideMark/>
                </w:tcPr>
                <w:p w:rsidR="003E0F56" w:rsidRPr="003E0F56" w:rsidRDefault="003E0F56" w:rsidP="003E0F56">
                  <w:pPr>
                    <w:spacing w:after="0" w:line="272" w:lineRule="atLeast"/>
                    <w:rPr>
                      <w:rFonts w:ascii="Arial" w:eastAsia="Times New Roman" w:hAnsi="Arial" w:cs="Arial"/>
                      <w:sz w:val="19"/>
                      <w:szCs w:val="19"/>
                      <w:lang w:eastAsia="en-GB"/>
                    </w:rPr>
                  </w:pPr>
                  <w:r w:rsidRPr="003E0F56">
                    <w:rPr>
                      <w:rFonts w:ascii="Arial" w:eastAsia="Times New Roman" w:hAnsi="Arial" w:cs="Arial"/>
                      <w:sz w:val="19"/>
                      <w:szCs w:val="19"/>
                      <w:lang w:eastAsia="en-GB"/>
                    </w:rPr>
                    <w:t>…</w:t>
                  </w:r>
                </w:p>
              </w:tc>
            </w:tr>
          </w:tbl>
          <w:p w:rsidR="003E0F56" w:rsidRPr="003E0F56" w:rsidRDefault="003E0F56" w:rsidP="003E0F56">
            <w:pPr>
              <w:spacing w:after="0" w:line="302" w:lineRule="atLeast"/>
              <w:rPr>
                <w:rFonts w:ascii="Arial" w:eastAsia="Times New Roman" w:hAnsi="Arial" w:cs="Arial"/>
                <w:vanish/>
                <w:lang w:eastAsia="en-GB"/>
              </w:rPr>
            </w:pPr>
          </w:p>
          <w:tbl>
            <w:tblPr>
              <w:tblW w:w="0" w:type="auto"/>
              <w:tblCellSpacing w:w="15" w:type="dxa"/>
              <w:tblInd w:w="120" w:type="dxa"/>
              <w:tblCellMar>
                <w:top w:w="15" w:type="dxa"/>
                <w:left w:w="15" w:type="dxa"/>
                <w:bottom w:w="15" w:type="dxa"/>
                <w:right w:w="15" w:type="dxa"/>
              </w:tblCellMar>
              <w:tblLook w:val="04A0" w:firstRow="1" w:lastRow="0" w:firstColumn="1" w:lastColumn="0" w:noHBand="0" w:noVBand="1"/>
            </w:tblPr>
            <w:tblGrid>
              <w:gridCol w:w="8491"/>
            </w:tblGrid>
            <w:tr w:rsidR="003E0F56" w:rsidRPr="003E0F56">
              <w:trPr>
                <w:tblCellSpacing w:w="15" w:type="dxa"/>
              </w:trPr>
              <w:tc>
                <w:tcPr>
                  <w:tcW w:w="0" w:type="auto"/>
                  <w:vAlign w:val="center"/>
                  <w:hideMark/>
                </w:tcPr>
                <w:p w:rsidR="003E0F56" w:rsidRPr="003E0F56" w:rsidRDefault="003E0F56" w:rsidP="003E0F56">
                  <w:pPr>
                    <w:spacing w:after="0" w:line="272" w:lineRule="atLeast"/>
                    <w:rPr>
                      <w:rFonts w:ascii="Arial" w:eastAsia="Times New Roman" w:hAnsi="Arial" w:cs="Arial"/>
                      <w:sz w:val="19"/>
                      <w:szCs w:val="19"/>
                      <w:lang w:eastAsia="en-GB"/>
                    </w:rPr>
                  </w:pPr>
                  <w:r w:rsidRPr="003E0F56">
                    <w:rPr>
                      <w:rFonts w:ascii="Arial" w:eastAsia="Times New Roman" w:hAnsi="Arial" w:cs="Arial"/>
                      <w:sz w:val="19"/>
                      <w:szCs w:val="19"/>
                      <w:lang w:eastAsia="en-GB"/>
                    </w:rPr>
                    <w:t>(2) Die Abschiebung eines Ausländers ist auszusetzen, solange die Abschiebung aus tatsächlichen oder rechtlichen Gründen unmöglich ist und keine Aufenthaltserlaubnis erteilt wird. Die Abschiebung eines Ausländers ist auch auszusetzen, wenn seine vorübergehende Anwesenheit im Bundesgebiet für ein Strafverfahren wegen eines Verbrechens von der Staatsanwaltschaft oder dem Strafgericht für sachgerecht erachtet wird, weil ohne seine Angaben die Erforschung des Sachverhalts erschwert wäre. Einem Ausländer kann eine Duldung erteilt werden, wenn dringende humanitäre oder persönliche Gründe oder erhebliche öffentliche Interessen seine vorübergehende weitere Anwesenheit im Bundesgebiet erfordern. Eine Duldung wegen dringender persönlicher Gründe im Sinne von Satz 3 ist zu erteilen, wenn der Ausländer eine qualifizierte Berufsausbildung in einem staatlich anerkannten oder vergleichbar geregelten Ausbildungsberuf in Deutschland aufnimmt oder aufgenommen hat, die Voraussetzungen nach Absatz 6 nicht vorliegen und konkrete Maßnahmen zur Aufenthaltsbeendigung nicht bevorstehen. In den Fällen nach Satz 4 wird die Duldung für die im Ausbildungsvertrag bestimmte Dauer der Berufsausbildung erteilt…</w:t>
                  </w:r>
                </w:p>
              </w:tc>
            </w:tr>
          </w:tbl>
          <w:p w:rsidR="003E0F56" w:rsidRPr="003E0F56" w:rsidRDefault="003E0F56" w:rsidP="003E0F56">
            <w:pPr>
              <w:spacing w:after="0" w:line="302" w:lineRule="atLeast"/>
              <w:rPr>
                <w:rFonts w:ascii="Arial" w:eastAsia="Times New Roman" w:hAnsi="Arial" w:cs="Arial"/>
                <w:lang w:eastAsia="en-GB"/>
              </w:rPr>
            </w:pPr>
          </w:p>
        </w:tc>
      </w:tr>
      <w:tr w:rsidR="003E0F56" w:rsidRPr="003E0F56" w:rsidTr="003E0F56">
        <w:trPr>
          <w:tblCellSpacing w:w="15" w:type="dxa"/>
        </w:trPr>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5"/>
            </w:tblGrid>
            <w:tr w:rsidR="003E0F56" w:rsidRPr="003E0F56">
              <w:trPr>
                <w:tblCellSpacing w:w="15" w:type="dxa"/>
              </w:trPr>
              <w:tc>
                <w:tcPr>
                  <w:tcW w:w="0" w:type="auto"/>
                  <w:vAlign w:val="center"/>
                  <w:hideMark/>
                </w:tcPr>
                <w:p w:rsidR="003E0F56" w:rsidRPr="003E0F56" w:rsidRDefault="003E0F56" w:rsidP="003E0F56">
                  <w:pPr>
                    <w:spacing w:after="0" w:line="272" w:lineRule="atLeast"/>
                    <w:rPr>
                      <w:rFonts w:ascii="Arial" w:eastAsia="Times New Roman" w:hAnsi="Arial" w:cs="Arial"/>
                      <w:sz w:val="19"/>
                      <w:szCs w:val="19"/>
                      <w:lang w:eastAsia="en-GB"/>
                    </w:rPr>
                  </w:pPr>
                  <w:r w:rsidRPr="003E0F56">
                    <w:rPr>
                      <w:rFonts w:ascii="Arial" w:eastAsia="Times New Roman" w:hAnsi="Arial" w:cs="Arial"/>
                      <w:sz w:val="19"/>
                      <w:szCs w:val="19"/>
                      <w:lang w:eastAsia="en-GB"/>
                    </w:rPr>
                    <w:t>14 </w:t>
                  </w:r>
                </w:p>
              </w:tc>
            </w:tr>
          </w:tbl>
          <w:p w:rsidR="003E0F56" w:rsidRPr="003E0F56" w:rsidRDefault="003E0F56" w:rsidP="003E0F56">
            <w:pPr>
              <w:spacing w:after="0" w:line="302" w:lineRule="atLeast"/>
              <w:rPr>
                <w:rFonts w:ascii="Arial" w:eastAsia="Times New Roman" w:hAnsi="Arial" w:cs="Arial"/>
                <w:lang w:eastAsia="en-GB"/>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37"/>
            </w:tblGrid>
            <w:tr w:rsidR="003E0F56" w:rsidRPr="003E0F56">
              <w:trPr>
                <w:tblCellSpacing w:w="15" w:type="dxa"/>
              </w:trPr>
              <w:tc>
                <w:tcPr>
                  <w:tcW w:w="0" w:type="auto"/>
                  <w:vAlign w:val="center"/>
                  <w:hideMark/>
                </w:tcPr>
                <w:p w:rsidR="003E0F56" w:rsidRPr="003E0F56" w:rsidRDefault="003E0F56" w:rsidP="003E0F56">
                  <w:pPr>
                    <w:spacing w:after="0" w:line="272" w:lineRule="atLeast"/>
                    <w:rPr>
                      <w:rFonts w:ascii="Arial" w:eastAsia="Times New Roman" w:hAnsi="Arial" w:cs="Arial"/>
                      <w:sz w:val="19"/>
                      <w:szCs w:val="19"/>
                      <w:lang w:eastAsia="en-GB"/>
                    </w:rPr>
                  </w:pPr>
                  <w:r w:rsidRPr="003E0F56">
                    <w:rPr>
                      <w:rFonts w:ascii="Arial" w:eastAsia="Times New Roman" w:hAnsi="Arial" w:cs="Arial"/>
                      <w:b/>
                      <w:bCs/>
                      <w:sz w:val="19"/>
                      <w:szCs w:val="19"/>
                      <w:lang w:eastAsia="en-GB"/>
                    </w:rPr>
                    <w:t>§ 29 Asylgesetz i.d.F.v. 31.07.2016 (BGBl. I, S. 1939)</w:t>
                  </w:r>
                </w:p>
              </w:tc>
            </w:tr>
          </w:tbl>
          <w:p w:rsidR="003E0F56" w:rsidRPr="003E0F56" w:rsidRDefault="003E0F56" w:rsidP="003E0F56">
            <w:pPr>
              <w:spacing w:after="0" w:line="302" w:lineRule="atLeast"/>
              <w:rPr>
                <w:rFonts w:ascii="Arial" w:eastAsia="Times New Roman" w:hAnsi="Arial" w:cs="Arial"/>
                <w:vanish/>
                <w:lang w:eastAsia="en-GB"/>
              </w:rPr>
            </w:pPr>
          </w:p>
          <w:tbl>
            <w:tblPr>
              <w:tblW w:w="0" w:type="auto"/>
              <w:tblCellSpacing w:w="15" w:type="dxa"/>
              <w:tblInd w:w="120" w:type="dxa"/>
              <w:tblCellMar>
                <w:top w:w="15" w:type="dxa"/>
                <w:left w:w="15" w:type="dxa"/>
                <w:bottom w:w="15" w:type="dxa"/>
                <w:right w:w="15" w:type="dxa"/>
              </w:tblCellMar>
              <w:tblLook w:val="04A0" w:firstRow="1" w:lastRow="0" w:firstColumn="1" w:lastColumn="0" w:noHBand="0" w:noVBand="1"/>
            </w:tblPr>
            <w:tblGrid>
              <w:gridCol w:w="1970"/>
            </w:tblGrid>
            <w:tr w:rsidR="003E0F56" w:rsidRPr="003E0F56">
              <w:trPr>
                <w:tblCellSpacing w:w="15" w:type="dxa"/>
              </w:trPr>
              <w:tc>
                <w:tcPr>
                  <w:tcW w:w="0" w:type="auto"/>
                  <w:vAlign w:val="center"/>
                  <w:hideMark/>
                </w:tcPr>
                <w:p w:rsidR="003E0F56" w:rsidRPr="003E0F56" w:rsidRDefault="003E0F56" w:rsidP="003E0F56">
                  <w:pPr>
                    <w:spacing w:after="0" w:line="272" w:lineRule="atLeast"/>
                    <w:rPr>
                      <w:rFonts w:ascii="Arial" w:eastAsia="Times New Roman" w:hAnsi="Arial" w:cs="Arial"/>
                      <w:sz w:val="19"/>
                      <w:szCs w:val="19"/>
                      <w:lang w:eastAsia="en-GB"/>
                    </w:rPr>
                  </w:pPr>
                  <w:r w:rsidRPr="003E0F56">
                    <w:rPr>
                      <w:rFonts w:ascii="Arial" w:eastAsia="Times New Roman" w:hAnsi="Arial" w:cs="Arial"/>
                      <w:b/>
                      <w:bCs/>
                      <w:sz w:val="19"/>
                      <w:szCs w:val="19"/>
                      <w:lang w:eastAsia="en-GB"/>
                    </w:rPr>
                    <w:t>Unzulässige Anträge</w:t>
                  </w:r>
                </w:p>
              </w:tc>
            </w:tr>
          </w:tbl>
          <w:p w:rsidR="003E0F56" w:rsidRPr="003E0F56" w:rsidRDefault="003E0F56" w:rsidP="003E0F56">
            <w:pPr>
              <w:spacing w:after="0" w:line="302" w:lineRule="atLeast"/>
              <w:rPr>
                <w:rFonts w:ascii="Arial" w:eastAsia="Times New Roman" w:hAnsi="Arial" w:cs="Arial"/>
                <w:vanish/>
                <w:lang w:eastAsia="en-GB"/>
              </w:rPr>
            </w:pPr>
          </w:p>
          <w:tbl>
            <w:tblPr>
              <w:tblW w:w="0" w:type="auto"/>
              <w:tblCellSpacing w:w="15" w:type="dxa"/>
              <w:tblInd w:w="120" w:type="dxa"/>
              <w:tblCellMar>
                <w:top w:w="15" w:type="dxa"/>
                <w:left w:w="15" w:type="dxa"/>
                <w:bottom w:w="15" w:type="dxa"/>
                <w:right w:w="15" w:type="dxa"/>
              </w:tblCellMar>
              <w:tblLook w:val="04A0" w:firstRow="1" w:lastRow="0" w:firstColumn="1" w:lastColumn="0" w:noHBand="0" w:noVBand="1"/>
            </w:tblPr>
            <w:tblGrid>
              <w:gridCol w:w="3069"/>
            </w:tblGrid>
            <w:tr w:rsidR="003E0F56" w:rsidRPr="003E0F56">
              <w:trPr>
                <w:tblCellSpacing w:w="15" w:type="dxa"/>
              </w:trPr>
              <w:tc>
                <w:tcPr>
                  <w:tcW w:w="0" w:type="auto"/>
                  <w:vAlign w:val="center"/>
                  <w:hideMark/>
                </w:tcPr>
                <w:p w:rsidR="003E0F56" w:rsidRPr="003E0F56" w:rsidRDefault="003E0F56" w:rsidP="003E0F56">
                  <w:pPr>
                    <w:spacing w:after="0" w:line="272" w:lineRule="atLeast"/>
                    <w:rPr>
                      <w:rFonts w:ascii="Arial" w:eastAsia="Times New Roman" w:hAnsi="Arial" w:cs="Arial"/>
                      <w:sz w:val="19"/>
                      <w:szCs w:val="19"/>
                      <w:lang w:eastAsia="en-GB"/>
                    </w:rPr>
                  </w:pPr>
                  <w:r w:rsidRPr="003E0F56">
                    <w:rPr>
                      <w:rFonts w:ascii="Arial" w:eastAsia="Times New Roman" w:hAnsi="Arial" w:cs="Arial"/>
                      <w:sz w:val="19"/>
                      <w:szCs w:val="19"/>
                      <w:lang w:eastAsia="en-GB"/>
                    </w:rPr>
                    <w:t>Ein Asylantrag ist unzulässig, wenn</w:t>
                  </w:r>
                </w:p>
              </w:tc>
            </w:tr>
          </w:tbl>
          <w:p w:rsidR="003E0F56" w:rsidRPr="003E0F56" w:rsidRDefault="003E0F56" w:rsidP="003E0F56">
            <w:pPr>
              <w:spacing w:after="0" w:line="302" w:lineRule="atLeast"/>
              <w:rPr>
                <w:rFonts w:ascii="Arial" w:eastAsia="Times New Roman" w:hAnsi="Arial" w:cs="Arial"/>
                <w:vanish/>
                <w:lang w:eastAsia="en-GB"/>
              </w:rPr>
            </w:pPr>
          </w:p>
          <w:tbl>
            <w:tblPr>
              <w:tblW w:w="0" w:type="auto"/>
              <w:tblCellSpacing w:w="15" w:type="dxa"/>
              <w:tblInd w:w="120" w:type="dxa"/>
              <w:tblCellMar>
                <w:top w:w="15" w:type="dxa"/>
                <w:left w:w="15" w:type="dxa"/>
                <w:bottom w:w="15" w:type="dxa"/>
                <w:right w:w="15" w:type="dxa"/>
              </w:tblCellMar>
              <w:tblLook w:val="04A0" w:firstRow="1" w:lastRow="0" w:firstColumn="1" w:lastColumn="0" w:noHBand="0" w:noVBand="1"/>
            </w:tblPr>
            <w:tblGrid>
              <w:gridCol w:w="1548"/>
            </w:tblGrid>
            <w:tr w:rsidR="003E0F56" w:rsidRPr="003E0F56">
              <w:trPr>
                <w:tblCellSpacing w:w="15" w:type="dxa"/>
              </w:trPr>
              <w:tc>
                <w:tcPr>
                  <w:tcW w:w="0" w:type="auto"/>
                  <w:vAlign w:val="center"/>
                  <w:hideMark/>
                </w:tcPr>
                <w:p w:rsidR="003E0F56" w:rsidRPr="003E0F56" w:rsidRDefault="003E0F56" w:rsidP="003E0F56">
                  <w:pPr>
                    <w:spacing w:after="0" w:line="272" w:lineRule="atLeast"/>
                    <w:rPr>
                      <w:rFonts w:ascii="Arial" w:eastAsia="Times New Roman" w:hAnsi="Arial" w:cs="Arial"/>
                      <w:sz w:val="19"/>
                      <w:szCs w:val="19"/>
                      <w:lang w:eastAsia="en-GB"/>
                    </w:rPr>
                  </w:pPr>
                  <w:r w:rsidRPr="003E0F56">
                    <w:rPr>
                      <w:rFonts w:ascii="Arial" w:eastAsia="Times New Roman" w:hAnsi="Arial" w:cs="Arial"/>
                      <w:sz w:val="19"/>
                      <w:szCs w:val="19"/>
                      <w:lang w:eastAsia="en-GB"/>
                    </w:rPr>
                    <w:t>ein anderer Staat</w:t>
                  </w:r>
                </w:p>
              </w:tc>
            </w:tr>
          </w:tbl>
          <w:p w:rsidR="003E0F56" w:rsidRPr="003E0F56" w:rsidRDefault="003E0F56" w:rsidP="003E0F56">
            <w:pPr>
              <w:spacing w:after="0" w:line="302" w:lineRule="atLeast"/>
              <w:rPr>
                <w:rFonts w:ascii="Arial" w:eastAsia="Times New Roman" w:hAnsi="Arial" w:cs="Arial"/>
                <w:vanish/>
                <w:lang w:eastAsia="en-GB"/>
              </w:rPr>
            </w:pPr>
          </w:p>
          <w:tbl>
            <w:tblPr>
              <w:tblW w:w="0" w:type="auto"/>
              <w:tblCellSpacing w:w="15" w:type="dxa"/>
              <w:tblInd w:w="120" w:type="dxa"/>
              <w:tblCellMar>
                <w:top w:w="15" w:type="dxa"/>
                <w:left w:w="15" w:type="dxa"/>
                <w:bottom w:w="15" w:type="dxa"/>
                <w:right w:w="15" w:type="dxa"/>
              </w:tblCellMar>
              <w:tblLook w:val="04A0" w:firstRow="1" w:lastRow="0" w:firstColumn="1" w:lastColumn="0" w:noHBand="0" w:noVBand="1"/>
            </w:tblPr>
            <w:tblGrid>
              <w:gridCol w:w="8491"/>
            </w:tblGrid>
            <w:tr w:rsidR="003E0F56" w:rsidRPr="003E0F56">
              <w:trPr>
                <w:tblCellSpacing w:w="15" w:type="dxa"/>
              </w:trPr>
              <w:tc>
                <w:tcPr>
                  <w:tcW w:w="0" w:type="auto"/>
                  <w:vAlign w:val="center"/>
                  <w:hideMark/>
                </w:tcPr>
                <w:p w:rsidR="003E0F56" w:rsidRPr="003E0F56" w:rsidRDefault="003E0F56" w:rsidP="003E0F56">
                  <w:pPr>
                    <w:spacing w:after="0" w:line="272" w:lineRule="atLeast"/>
                    <w:rPr>
                      <w:rFonts w:ascii="Arial" w:eastAsia="Times New Roman" w:hAnsi="Arial" w:cs="Arial"/>
                      <w:sz w:val="19"/>
                      <w:szCs w:val="19"/>
                      <w:lang w:eastAsia="en-GB"/>
                    </w:rPr>
                  </w:pPr>
                  <w:r w:rsidRPr="003E0F56">
                    <w:rPr>
                      <w:rFonts w:ascii="Arial" w:eastAsia="Times New Roman" w:hAnsi="Arial" w:cs="Arial"/>
                      <w:sz w:val="19"/>
                      <w:szCs w:val="19"/>
                      <w:lang w:val="fr-BE" w:eastAsia="en-GB"/>
                    </w:rPr>
                    <w:t xml:space="preserve">nach Maßgabe der Verordnung (EU) Nr.604/2013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w:t>
                  </w:r>
                  <w:r w:rsidRPr="003E0F56">
                    <w:rPr>
                      <w:rFonts w:ascii="Arial" w:eastAsia="Times New Roman" w:hAnsi="Arial" w:cs="Arial"/>
                      <w:sz w:val="19"/>
                      <w:szCs w:val="19"/>
                      <w:lang w:eastAsia="en-GB"/>
                    </w:rPr>
                    <w:t>L 180 vom 29.6.2013, S. 31) oder</w:t>
                  </w:r>
                </w:p>
              </w:tc>
            </w:tr>
          </w:tbl>
          <w:p w:rsidR="003E0F56" w:rsidRPr="003E0F56" w:rsidRDefault="003E0F56" w:rsidP="003E0F56">
            <w:pPr>
              <w:spacing w:after="0" w:line="302" w:lineRule="atLeast"/>
              <w:rPr>
                <w:rFonts w:ascii="Arial" w:eastAsia="Times New Roman" w:hAnsi="Arial" w:cs="Arial"/>
                <w:vanish/>
                <w:lang w:eastAsia="en-GB"/>
              </w:rPr>
            </w:pPr>
          </w:p>
          <w:tbl>
            <w:tblPr>
              <w:tblW w:w="0" w:type="auto"/>
              <w:tblCellSpacing w:w="15" w:type="dxa"/>
              <w:tblInd w:w="120" w:type="dxa"/>
              <w:tblCellMar>
                <w:top w:w="15" w:type="dxa"/>
                <w:left w:w="15" w:type="dxa"/>
                <w:bottom w:w="15" w:type="dxa"/>
                <w:right w:w="15" w:type="dxa"/>
              </w:tblCellMar>
              <w:tblLook w:val="04A0" w:firstRow="1" w:lastRow="0" w:firstColumn="1" w:lastColumn="0" w:noHBand="0" w:noVBand="1"/>
            </w:tblPr>
            <w:tblGrid>
              <w:gridCol w:w="8491"/>
            </w:tblGrid>
            <w:tr w:rsidR="003E0F56" w:rsidRPr="003E0F56">
              <w:trPr>
                <w:tblCellSpacing w:w="15" w:type="dxa"/>
              </w:trPr>
              <w:tc>
                <w:tcPr>
                  <w:tcW w:w="0" w:type="auto"/>
                  <w:vAlign w:val="center"/>
                  <w:hideMark/>
                </w:tcPr>
                <w:p w:rsidR="003E0F56" w:rsidRPr="003E0F56" w:rsidRDefault="003E0F56" w:rsidP="003E0F56">
                  <w:pPr>
                    <w:spacing w:after="0" w:line="272" w:lineRule="atLeast"/>
                    <w:rPr>
                      <w:rFonts w:ascii="Arial" w:eastAsia="Times New Roman" w:hAnsi="Arial" w:cs="Arial"/>
                      <w:sz w:val="19"/>
                      <w:szCs w:val="19"/>
                      <w:lang w:eastAsia="en-GB"/>
                    </w:rPr>
                  </w:pPr>
                  <w:r w:rsidRPr="003E0F56">
                    <w:rPr>
                      <w:rFonts w:ascii="Arial" w:eastAsia="Times New Roman" w:hAnsi="Arial" w:cs="Arial"/>
                      <w:sz w:val="19"/>
                      <w:szCs w:val="19"/>
                      <w:lang w:eastAsia="en-GB"/>
                    </w:rPr>
                    <w:t>auf Grund von anderen Rechtsvorschriften der Europäischen Union oder eines völkerrechtlichen Vertrages</w:t>
                  </w:r>
                </w:p>
              </w:tc>
            </w:tr>
          </w:tbl>
          <w:p w:rsidR="003E0F56" w:rsidRPr="003E0F56" w:rsidRDefault="003E0F56" w:rsidP="003E0F56">
            <w:pPr>
              <w:spacing w:after="0" w:line="302" w:lineRule="atLeast"/>
              <w:rPr>
                <w:rFonts w:ascii="Arial" w:eastAsia="Times New Roman" w:hAnsi="Arial" w:cs="Arial"/>
                <w:vanish/>
                <w:lang w:eastAsia="en-GB"/>
              </w:rPr>
            </w:pPr>
          </w:p>
          <w:tbl>
            <w:tblPr>
              <w:tblW w:w="0" w:type="auto"/>
              <w:tblCellSpacing w:w="15" w:type="dxa"/>
              <w:tblInd w:w="120" w:type="dxa"/>
              <w:tblCellMar>
                <w:top w:w="15" w:type="dxa"/>
                <w:left w:w="15" w:type="dxa"/>
                <w:bottom w:w="15" w:type="dxa"/>
                <w:right w:w="15" w:type="dxa"/>
              </w:tblCellMar>
              <w:tblLook w:val="04A0" w:firstRow="1" w:lastRow="0" w:firstColumn="1" w:lastColumn="0" w:noHBand="0" w:noVBand="1"/>
            </w:tblPr>
            <w:tblGrid>
              <w:gridCol w:w="4790"/>
            </w:tblGrid>
            <w:tr w:rsidR="003E0F56" w:rsidRPr="003E0F56">
              <w:trPr>
                <w:tblCellSpacing w:w="15" w:type="dxa"/>
              </w:trPr>
              <w:tc>
                <w:tcPr>
                  <w:tcW w:w="0" w:type="auto"/>
                  <w:vAlign w:val="center"/>
                  <w:hideMark/>
                </w:tcPr>
                <w:p w:rsidR="003E0F56" w:rsidRPr="003E0F56" w:rsidRDefault="003E0F56" w:rsidP="003E0F56">
                  <w:pPr>
                    <w:spacing w:after="0" w:line="272" w:lineRule="atLeast"/>
                    <w:rPr>
                      <w:rFonts w:ascii="Arial" w:eastAsia="Times New Roman" w:hAnsi="Arial" w:cs="Arial"/>
                      <w:sz w:val="19"/>
                      <w:szCs w:val="19"/>
                      <w:lang w:eastAsia="en-GB"/>
                    </w:rPr>
                  </w:pPr>
                  <w:r w:rsidRPr="003E0F56">
                    <w:rPr>
                      <w:rFonts w:ascii="Arial" w:eastAsia="Times New Roman" w:hAnsi="Arial" w:cs="Arial"/>
                      <w:sz w:val="19"/>
                      <w:szCs w:val="19"/>
                      <w:lang w:eastAsia="en-GB"/>
                    </w:rPr>
                    <w:t>für die Durchführung des Asylverfahrens zuständig ist…</w:t>
                  </w:r>
                </w:p>
              </w:tc>
            </w:tr>
          </w:tbl>
          <w:p w:rsidR="003E0F56" w:rsidRPr="003E0F56" w:rsidRDefault="003E0F56" w:rsidP="003E0F56">
            <w:pPr>
              <w:spacing w:after="0" w:line="302" w:lineRule="atLeast"/>
              <w:rPr>
                <w:rFonts w:ascii="Arial" w:eastAsia="Times New Roman" w:hAnsi="Arial" w:cs="Arial"/>
                <w:lang w:eastAsia="en-GB"/>
              </w:rPr>
            </w:pPr>
          </w:p>
        </w:tc>
      </w:tr>
      <w:tr w:rsidR="003E0F56" w:rsidRPr="003E0F56" w:rsidTr="003E0F56">
        <w:trPr>
          <w:tblCellSpacing w:w="15" w:type="dxa"/>
        </w:trPr>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5"/>
            </w:tblGrid>
            <w:tr w:rsidR="003E0F56" w:rsidRPr="003E0F56">
              <w:trPr>
                <w:tblCellSpacing w:w="15" w:type="dxa"/>
              </w:trPr>
              <w:tc>
                <w:tcPr>
                  <w:tcW w:w="0" w:type="auto"/>
                  <w:vAlign w:val="center"/>
                  <w:hideMark/>
                </w:tcPr>
                <w:p w:rsidR="003E0F56" w:rsidRPr="003E0F56" w:rsidRDefault="003E0F56" w:rsidP="003E0F56">
                  <w:pPr>
                    <w:spacing w:after="0" w:line="272" w:lineRule="atLeast"/>
                    <w:rPr>
                      <w:rFonts w:ascii="Arial" w:eastAsia="Times New Roman" w:hAnsi="Arial" w:cs="Arial"/>
                      <w:sz w:val="19"/>
                      <w:szCs w:val="19"/>
                      <w:lang w:eastAsia="en-GB"/>
                    </w:rPr>
                  </w:pPr>
                  <w:r w:rsidRPr="003E0F56">
                    <w:rPr>
                      <w:rFonts w:ascii="Arial" w:eastAsia="Times New Roman" w:hAnsi="Arial" w:cs="Arial"/>
                      <w:sz w:val="19"/>
                      <w:szCs w:val="19"/>
                      <w:lang w:eastAsia="en-GB"/>
                    </w:rPr>
                    <w:lastRenderedPageBreak/>
                    <w:t>15 </w:t>
                  </w:r>
                </w:p>
              </w:tc>
            </w:tr>
          </w:tbl>
          <w:p w:rsidR="003E0F56" w:rsidRPr="003E0F56" w:rsidRDefault="003E0F56" w:rsidP="003E0F56">
            <w:pPr>
              <w:spacing w:after="0" w:line="302" w:lineRule="atLeast"/>
              <w:rPr>
                <w:rFonts w:ascii="Arial" w:eastAsia="Times New Roman" w:hAnsi="Arial" w:cs="Arial"/>
                <w:lang w:eastAsia="en-GB"/>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06"/>
            </w:tblGrid>
            <w:tr w:rsidR="003E0F56" w:rsidRPr="003E0F56">
              <w:trPr>
                <w:tblCellSpacing w:w="15" w:type="dxa"/>
              </w:trPr>
              <w:tc>
                <w:tcPr>
                  <w:tcW w:w="0" w:type="auto"/>
                  <w:vAlign w:val="center"/>
                  <w:hideMark/>
                </w:tcPr>
                <w:p w:rsidR="003E0F56" w:rsidRPr="003E0F56" w:rsidRDefault="003E0F56" w:rsidP="003E0F56">
                  <w:pPr>
                    <w:spacing w:after="0" w:line="272" w:lineRule="atLeast"/>
                    <w:rPr>
                      <w:rFonts w:ascii="Arial" w:eastAsia="Times New Roman" w:hAnsi="Arial" w:cs="Arial"/>
                      <w:sz w:val="19"/>
                      <w:szCs w:val="19"/>
                      <w:lang w:eastAsia="en-GB"/>
                    </w:rPr>
                  </w:pPr>
                  <w:r w:rsidRPr="003E0F56">
                    <w:rPr>
                      <w:rFonts w:ascii="Arial" w:eastAsia="Times New Roman" w:hAnsi="Arial" w:cs="Arial"/>
                      <w:b/>
                      <w:bCs/>
                      <w:sz w:val="19"/>
                      <w:szCs w:val="19"/>
                      <w:lang w:eastAsia="en-GB"/>
                    </w:rPr>
                    <w:t>§ 31 Asylgesetz</w:t>
                  </w:r>
                </w:p>
              </w:tc>
            </w:tr>
          </w:tbl>
          <w:p w:rsidR="003E0F56" w:rsidRPr="003E0F56" w:rsidRDefault="003E0F56" w:rsidP="003E0F56">
            <w:pPr>
              <w:spacing w:after="0" w:line="302" w:lineRule="atLeast"/>
              <w:rPr>
                <w:rFonts w:ascii="Arial" w:eastAsia="Times New Roman" w:hAnsi="Arial" w:cs="Arial"/>
                <w:vanish/>
                <w:lang w:eastAsia="en-GB"/>
              </w:rPr>
            </w:pPr>
          </w:p>
          <w:tbl>
            <w:tblPr>
              <w:tblW w:w="0" w:type="auto"/>
              <w:tblCellSpacing w:w="15" w:type="dxa"/>
              <w:tblInd w:w="120" w:type="dxa"/>
              <w:tblCellMar>
                <w:top w:w="15" w:type="dxa"/>
                <w:left w:w="15" w:type="dxa"/>
                <w:bottom w:w="15" w:type="dxa"/>
                <w:right w:w="15" w:type="dxa"/>
              </w:tblCellMar>
              <w:tblLook w:val="04A0" w:firstRow="1" w:lastRow="0" w:firstColumn="1" w:lastColumn="0" w:noHBand="0" w:noVBand="1"/>
            </w:tblPr>
            <w:tblGrid>
              <w:gridCol w:w="4631"/>
            </w:tblGrid>
            <w:tr w:rsidR="003E0F56" w:rsidRPr="003E0F56">
              <w:trPr>
                <w:tblCellSpacing w:w="15" w:type="dxa"/>
              </w:trPr>
              <w:tc>
                <w:tcPr>
                  <w:tcW w:w="0" w:type="auto"/>
                  <w:vAlign w:val="center"/>
                  <w:hideMark/>
                </w:tcPr>
                <w:p w:rsidR="003E0F56" w:rsidRPr="003E0F56" w:rsidRDefault="003E0F56" w:rsidP="003E0F56">
                  <w:pPr>
                    <w:spacing w:after="0" w:line="272" w:lineRule="atLeast"/>
                    <w:rPr>
                      <w:rFonts w:ascii="Arial" w:eastAsia="Times New Roman" w:hAnsi="Arial" w:cs="Arial"/>
                      <w:sz w:val="19"/>
                      <w:szCs w:val="19"/>
                      <w:lang w:eastAsia="en-GB"/>
                    </w:rPr>
                  </w:pPr>
                  <w:r w:rsidRPr="003E0F56">
                    <w:rPr>
                      <w:rFonts w:ascii="Arial" w:eastAsia="Times New Roman" w:hAnsi="Arial" w:cs="Arial"/>
                      <w:b/>
                      <w:bCs/>
                      <w:sz w:val="19"/>
                      <w:szCs w:val="19"/>
                      <w:lang w:eastAsia="en-GB"/>
                    </w:rPr>
                    <w:t>Entscheidung des Bundesamtes über Asylanträge</w:t>
                  </w:r>
                </w:p>
              </w:tc>
            </w:tr>
          </w:tbl>
          <w:p w:rsidR="003E0F56" w:rsidRPr="003E0F56" w:rsidRDefault="003E0F56" w:rsidP="003E0F56">
            <w:pPr>
              <w:spacing w:after="0" w:line="302" w:lineRule="atLeast"/>
              <w:rPr>
                <w:rFonts w:ascii="Arial" w:eastAsia="Times New Roman" w:hAnsi="Arial" w:cs="Arial"/>
                <w:vanish/>
                <w:lang w:eastAsia="en-GB"/>
              </w:rPr>
            </w:pPr>
          </w:p>
          <w:tbl>
            <w:tblPr>
              <w:tblW w:w="0" w:type="auto"/>
              <w:tblCellSpacing w:w="15" w:type="dxa"/>
              <w:tblInd w:w="120" w:type="dxa"/>
              <w:tblCellMar>
                <w:top w:w="15" w:type="dxa"/>
                <w:left w:w="15" w:type="dxa"/>
                <w:bottom w:w="15" w:type="dxa"/>
                <w:right w:w="15" w:type="dxa"/>
              </w:tblCellMar>
              <w:tblLook w:val="04A0" w:firstRow="1" w:lastRow="0" w:firstColumn="1" w:lastColumn="0" w:noHBand="0" w:noVBand="1"/>
            </w:tblPr>
            <w:tblGrid>
              <w:gridCol w:w="280"/>
            </w:tblGrid>
            <w:tr w:rsidR="003E0F56" w:rsidRPr="003E0F56">
              <w:trPr>
                <w:tblCellSpacing w:w="15" w:type="dxa"/>
              </w:trPr>
              <w:tc>
                <w:tcPr>
                  <w:tcW w:w="0" w:type="auto"/>
                  <w:vAlign w:val="center"/>
                  <w:hideMark/>
                </w:tcPr>
                <w:p w:rsidR="003E0F56" w:rsidRPr="003E0F56" w:rsidRDefault="003E0F56" w:rsidP="003E0F56">
                  <w:pPr>
                    <w:spacing w:after="0" w:line="272" w:lineRule="atLeast"/>
                    <w:rPr>
                      <w:rFonts w:ascii="Arial" w:eastAsia="Times New Roman" w:hAnsi="Arial" w:cs="Arial"/>
                      <w:sz w:val="19"/>
                      <w:szCs w:val="19"/>
                      <w:lang w:eastAsia="en-GB"/>
                    </w:rPr>
                  </w:pPr>
                  <w:r w:rsidRPr="003E0F56">
                    <w:rPr>
                      <w:rFonts w:ascii="Arial" w:eastAsia="Times New Roman" w:hAnsi="Arial" w:cs="Arial"/>
                      <w:sz w:val="19"/>
                      <w:szCs w:val="19"/>
                      <w:lang w:eastAsia="en-GB"/>
                    </w:rPr>
                    <w:t>…</w:t>
                  </w:r>
                </w:p>
              </w:tc>
            </w:tr>
          </w:tbl>
          <w:p w:rsidR="003E0F56" w:rsidRPr="003E0F56" w:rsidRDefault="003E0F56" w:rsidP="003E0F56">
            <w:pPr>
              <w:spacing w:after="0" w:line="302" w:lineRule="atLeast"/>
              <w:rPr>
                <w:rFonts w:ascii="Arial" w:eastAsia="Times New Roman" w:hAnsi="Arial" w:cs="Arial"/>
                <w:vanish/>
                <w:lang w:eastAsia="en-GB"/>
              </w:rPr>
            </w:pPr>
          </w:p>
          <w:tbl>
            <w:tblPr>
              <w:tblW w:w="0" w:type="auto"/>
              <w:tblCellSpacing w:w="15" w:type="dxa"/>
              <w:tblInd w:w="120" w:type="dxa"/>
              <w:tblCellMar>
                <w:top w:w="15" w:type="dxa"/>
                <w:left w:w="15" w:type="dxa"/>
                <w:bottom w:w="15" w:type="dxa"/>
                <w:right w:w="15" w:type="dxa"/>
              </w:tblCellMar>
              <w:tblLook w:val="04A0" w:firstRow="1" w:lastRow="0" w:firstColumn="1" w:lastColumn="0" w:noHBand="0" w:noVBand="1"/>
            </w:tblPr>
            <w:tblGrid>
              <w:gridCol w:w="8491"/>
            </w:tblGrid>
            <w:tr w:rsidR="003E0F56" w:rsidRPr="003E0F56">
              <w:trPr>
                <w:tblCellSpacing w:w="15" w:type="dxa"/>
              </w:trPr>
              <w:tc>
                <w:tcPr>
                  <w:tcW w:w="0" w:type="auto"/>
                  <w:vAlign w:val="center"/>
                  <w:hideMark/>
                </w:tcPr>
                <w:p w:rsidR="003E0F56" w:rsidRPr="003E0F56" w:rsidRDefault="003E0F56" w:rsidP="003E0F56">
                  <w:pPr>
                    <w:spacing w:after="0" w:line="272" w:lineRule="atLeast"/>
                    <w:rPr>
                      <w:rFonts w:ascii="Arial" w:eastAsia="Times New Roman" w:hAnsi="Arial" w:cs="Arial"/>
                      <w:sz w:val="19"/>
                      <w:szCs w:val="19"/>
                      <w:lang w:eastAsia="en-GB"/>
                    </w:rPr>
                  </w:pPr>
                  <w:r w:rsidRPr="003E0F56">
                    <w:rPr>
                      <w:rFonts w:ascii="Arial" w:eastAsia="Times New Roman" w:hAnsi="Arial" w:cs="Arial"/>
                      <w:sz w:val="19"/>
                      <w:szCs w:val="19"/>
                      <w:lang w:eastAsia="en-GB"/>
                    </w:rPr>
                    <w:t>(3) In den Fällen des Absatzes 2 und in Entscheidungen über unzulässige Asylanträge ist festzustellen, ob die Voraussetzungen des § 60 Absatz 5 oder 7 des Aufenthaltsgesetzes vorliegen. Davon kann abgesehen werden, wenn der Ausländer als Asylberechtigter anerkannt wird oder ihm internationaler Schutz im Sinne des § 1 Absatz 1 Nummer 2 zuerkannt wird.</w:t>
                  </w:r>
                </w:p>
              </w:tc>
            </w:tr>
          </w:tbl>
          <w:p w:rsidR="003E0F56" w:rsidRPr="003E0F56" w:rsidRDefault="003E0F56" w:rsidP="003E0F56">
            <w:pPr>
              <w:spacing w:after="0" w:line="302" w:lineRule="atLeast"/>
              <w:rPr>
                <w:rFonts w:ascii="Arial" w:eastAsia="Times New Roman" w:hAnsi="Arial" w:cs="Arial"/>
                <w:vanish/>
                <w:lang w:eastAsia="en-GB"/>
              </w:rPr>
            </w:pPr>
          </w:p>
          <w:tbl>
            <w:tblPr>
              <w:tblW w:w="0" w:type="auto"/>
              <w:tblCellSpacing w:w="15" w:type="dxa"/>
              <w:tblInd w:w="120" w:type="dxa"/>
              <w:tblCellMar>
                <w:top w:w="15" w:type="dxa"/>
                <w:left w:w="15" w:type="dxa"/>
                <w:bottom w:w="15" w:type="dxa"/>
                <w:right w:w="15" w:type="dxa"/>
              </w:tblCellMar>
              <w:tblLook w:val="04A0" w:firstRow="1" w:lastRow="0" w:firstColumn="1" w:lastColumn="0" w:noHBand="0" w:noVBand="1"/>
            </w:tblPr>
            <w:tblGrid>
              <w:gridCol w:w="280"/>
            </w:tblGrid>
            <w:tr w:rsidR="003E0F56" w:rsidRPr="003E0F56">
              <w:trPr>
                <w:tblCellSpacing w:w="15" w:type="dxa"/>
              </w:trPr>
              <w:tc>
                <w:tcPr>
                  <w:tcW w:w="0" w:type="auto"/>
                  <w:vAlign w:val="center"/>
                  <w:hideMark/>
                </w:tcPr>
                <w:p w:rsidR="003E0F56" w:rsidRPr="003E0F56" w:rsidRDefault="003E0F56" w:rsidP="003E0F56">
                  <w:pPr>
                    <w:spacing w:after="0" w:line="272" w:lineRule="atLeast"/>
                    <w:rPr>
                      <w:rFonts w:ascii="Arial" w:eastAsia="Times New Roman" w:hAnsi="Arial" w:cs="Arial"/>
                      <w:sz w:val="19"/>
                      <w:szCs w:val="19"/>
                      <w:lang w:eastAsia="en-GB"/>
                    </w:rPr>
                  </w:pPr>
                  <w:r w:rsidRPr="003E0F56">
                    <w:rPr>
                      <w:rFonts w:ascii="Arial" w:eastAsia="Times New Roman" w:hAnsi="Arial" w:cs="Arial"/>
                      <w:sz w:val="19"/>
                      <w:szCs w:val="19"/>
                      <w:lang w:eastAsia="en-GB"/>
                    </w:rPr>
                    <w:t>…</w:t>
                  </w:r>
                </w:p>
              </w:tc>
            </w:tr>
          </w:tbl>
          <w:p w:rsidR="003E0F56" w:rsidRPr="003E0F56" w:rsidRDefault="003E0F56" w:rsidP="003E0F56">
            <w:pPr>
              <w:spacing w:after="0" w:line="302" w:lineRule="atLeast"/>
              <w:rPr>
                <w:rFonts w:ascii="Arial" w:eastAsia="Times New Roman" w:hAnsi="Arial" w:cs="Arial"/>
                <w:lang w:eastAsia="en-GB"/>
              </w:rPr>
            </w:pPr>
          </w:p>
        </w:tc>
      </w:tr>
      <w:tr w:rsidR="003E0F56" w:rsidRPr="003E0F56" w:rsidTr="003E0F56">
        <w:trPr>
          <w:tblCellSpacing w:w="15" w:type="dxa"/>
        </w:trPr>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5"/>
            </w:tblGrid>
            <w:tr w:rsidR="003E0F56" w:rsidRPr="003E0F56">
              <w:trPr>
                <w:tblCellSpacing w:w="15" w:type="dxa"/>
              </w:trPr>
              <w:tc>
                <w:tcPr>
                  <w:tcW w:w="0" w:type="auto"/>
                  <w:vAlign w:val="center"/>
                  <w:hideMark/>
                </w:tcPr>
                <w:p w:rsidR="003E0F56" w:rsidRPr="003E0F56" w:rsidRDefault="003E0F56" w:rsidP="003E0F56">
                  <w:pPr>
                    <w:spacing w:after="0" w:line="272" w:lineRule="atLeast"/>
                    <w:rPr>
                      <w:rFonts w:ascii="Arial" w:eastAsia="Times New Roman" w:hAnsi="Arial" w:cs="Arial"/>
                      <w:sz w:val="19"/>
                      <w:szCs w:val="19"/>
                      <w:lang w:eastAsia="en-GB"/>
                    </w:rPr>
                  </w:pPr>
                  <w:r w:rsidRPr="003E0F56">
                    <w:rPr>
                      <w:rFonts w:ascii="Arial" w:eastAsia="Times New Roman" w:hAnsi="Arial" w:cs="Arial"/>
                      <w:sz w:val="19"/>
                      <w:szCs w:val="19"/>
                      <w:lang w:eastAsia="en-GB"/>
                    </w:rPr>
                    <w:t>16 </w:t>
                  </w:r>
                </w:p>
              </w:tc>
            </w:tr>
          </w:tbl>
          <w:p w:rsidR="003E0F56" w:rsidRPr="003E0F56" w:rsidRDefault="003E0F56" w:rsidP="003E0F56">
            <w:pPr>
              <w:spacing w:after="0" w:line="302" w:lineRule="atLeast"/>
              <w:rPr>
                <w:rFonts w:ascii="Arial" w:eastAsia="Times New Roman" w:hAnsi="Arial" w:cs="Arial"/>
                <w:lang w:eastAsia="en-GB"/>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11"/>
            </w:tblGrid>
            <w:tr w:rsidR="003E0F56" w:rsidRPr="003E0F56">
              <w:trPr>
                <w:tblCellSpacing w:w="15" w:type="dxa"/>
              </w:trPr>
              <w:tc>
                <w:tcPr>
                  <w:tcW w:w="0" w:type="auto"/>
                  <w:vAlign w:val="center"/>
                  <w:hideMark/>
                </w:tcPr>
                <w:p w:rsidR="003E0F56" w:rsidRPr="003E0F56" w:rsidRDefault="003E0F56" w:rsidP="003E0F56">
                  <w:pPr>
                    <w:spacing w:after="0" w:line="272" w:lineRule="atLeast"/>
                    <w:rPr>
                      <w:rFonts w:ascii="Arial" w:eastAsia="Times New Roman" w:hAnsi="Arial" w:cs="Arial"/>
                      <w:sz w:val="19"/>
                      <w:szCs w:val="19"/>
                      <w:lang w:eastAsia="en-GB"/>
                    </w:rPr>
                  </w:pPr>
                  <w:r w:rsidRPr="003E0F56">
                    <w:rPr>
                      <w:rFonts w:ascii="Arial" w:eastAsia="Times New Roman" w:hAnsi="Arial" w:cs="Arial"/>
                      <w:b/>
                      <w:bCs/>
                      <w:sz w:val="19"/>
                      <w:szCs w:val="19"/>
                      <w:lang w:eastAsia="en-GB"/>
                    </w:rPr>
                    <w:t>§ 34a Asylgesetz</w:t>
                  </w:r>
                </w:p>
              </w:tc>
            </w:tr>
          </w:tbl>
          <w:p w:rsidR="003E0F56" w:rsidRPr="003E0F56" w:rsidRDefault="003E0F56" w:rsidP="003E0F56">
            <w:pPr>
              <w:spacing w:after="0" w:line="302" w:lineRule="atLeast"/>
              <w:rPr>
                <w:rFonts w:ascii="Arial" w:eastAsia="Times New Roman" w:hAnsi="Arial" w:cs="Arial"/>
                <w:vanish/>
                <w:lang w:eastAsia="en-GB"/>
              </w:rPr>
            </w:pPr>
          </w:p>
          <w:tbl>
            <w:tblPr>
              <w:tblW w:w="0" w:type="auto"/>
              <w:tblCellSpacing w:w="15" w:type="dxa"/>
              <w:tblInd w:w="120" w:type="dxa"/>
              <w:tblCellMar>
                <w:top w:w="15" w:type="dxa"/>
                <w:left w:w="15" w:type="dxa"/>
                <w:bottom w:w="15" w:type="dxa"/>
                <w:right w:w="15" w:type="dxa"/>
              </w:tblCellMar>
              <w:tblLook w:val="04A0" w:firstRow="1" w:lastRow="0" w:firstColumn="1" w:lastColumn="0" w:noHBand="0" w:noVBand="1"/>
            </w:tblPr>
            <w:tblGrid>
              <w:gridCol w:w="2392"/>
            </w:tblGrid>
            <w:tr w:rsidR="003E0F56" w:rsidRPr="003E0F56">
              <w:trPr>
                <w:tblCellSpacing w:w="15" w:type="dxa"/>
              </w:trPr>
              <w:tc>
                <w:tcPr>
                  <w:tcW w:w="0" w:type="auto"/>
                  <w:vAlign w:val="center"/>
                  <w:hideMark/>
                </w:tcPr>
                <w:p w:rsidR="003E0F56" w:rsidRPr="003E0F56" w:rsidRDefault="003E0F56" w:rsidP="003E0F56">
                  <w:pPr>
                    <w:spacing w:after="0" w:line="272" w:lineRule="atLeast"/>
                    <w:rPr>
                      <w:rFonts w:ascii="Arial" w:eastAsia="Times New Roman" w:hAnsi="Arial" w:cs="Arial"/>
                      <w:sz w:val="19"/>
                      <w:szCs w:val="19"/>
                      <w:lang w:eastAsia="en-GB"/>
                    </w:rPr>
                  </w:pPr>
                  <w:r w:rsidRPr="003E0F56">
                    <w:rPr>
                      <w:rFonts w:ascii="Arial" w:eastAsia="Times New Roman" w:hAnsi="Arial" w:cs="Arial"/>
                      <w:b/>
                      <w:bCs/>
                      <w:sz w:val="19"/>
                      <w:szCs w:val="19"/>
                      <w:lang w:eastAsia="en-GB"/>
                    </w:rPr>
                    <w:t>Abschiebungsanordnung</w:t>
                  </w:r>
                </w:p>
              </w:tc>
            </w:tr>
          </w:tbl>
          <w:p w:rsidR="003E0F56" w:rsidRPr="003E0F56" w:rsidRDefault="003E0F56" w:rsidP="003E0F56">
            <w:pPr>
              <w:spacing w:after="0" w:line="302" w:lineRule="atLeast"/>
              <w:rPr>
                <w:rFonts w:ascii="Arial" w:eastAsia="Times New Roman" w:hAnsi="Arial" w:cs="Arial"/>
                <w:vanish/>
                <w:lang w:eastAsia="en-GB"/>
              </w:rPr>
            </w:pPr>
          </w:p>
          <w:tbl>
            <w:tblPr>
              <w:tblW w:w="0" w:type="auto"/>
              <w:tblCellSpacing w:w="15" w:type="dxa"/>
              <w:tblInd w:w="120" w:type="dxa"/>
              <w:tblCellMar>
                <w:top w:w="15" w:type="dxa"/>
                <w:left w:w="15" w:type="dxa"/>
                <w:bottom w:w="15" w:type="dxa"/>
                <w:right w:w="15" w:type="dxa"/>
              </w:tblCellMar>
              <w:tblLook w:val="04A0" w:firstRow="1" w:lastRow="0" w:firstColumn="1" w:lastColumn="0" w:noHBand="0" w:noVBand="1"/>
            </w:tblPr>
            <w:tblGrid>
              <w:gridCol w:w="8491"/>
            </w:tblGrid>
            <w:tr w:rsidR="003E0F56" w:rsidRPr="003E0F56">
              <w:trPr>
                <w:tblCellSpacing w:w="15" w:type="dxa"/>
              </w:trPr>
              <w:tc>
                <w:tcPr>
                  <w:tcW w:w="0" w:type="auto"/>
                  <w:vAlign w:val="center"/>
                  <w:hideMark/>
                </w:tcPr>
                <w:p w:rsidR="003E0F56" w:rsidRPr="003E0F56" w:rsidRDefault="003E0F56" w:rsidP="003E0F56">
                  <w:pPr>
                    <w:spacing w:after="0" w:line="272" w:lineRule="atLeast"/>
                    <w:rPr>
                      <w:rFonts w:ascii="Arial" w:eastAsia="Times New Roman" w:hAnsi="Arial" w:cs="Arial"/>
                      <w:sz w:val="19"/>
                      <w:szCs w:val="19"/>
                      <w:lang w:eastAsia="en-GB"/>
                    </w:rPr>
                  </w:pPr>
                  <w:r w:rsidRPr="003E0F56">
                    <w:rPr>
                      <w:rFonts w:ascii="Arial" w:eastAsia="Times New Roman" w:hAnsi="Arial" w:cs="Arial"/>
                      <w:sz w:val="19"/>
                      <w:szCs w:val="19"/>
                      <w:lang w:eastAsia="en-GB"/>
                    </w:rPr>
                    <w:t>Soll der Ausländer in einen sicheren Drittstaat (§ 26a) oder in einen für die Durchführung des Asylverfahrens zuständigen Staat (§ 29 Absatz 1 Nummer 1) abgeschoben werden, ordnet das Bundesamt die Abschiebung in diesen Staat an, sobald feststeht, dass sie durchgeführt werden kann. Dies gilt auch, wenn der Ausländer den Asylantrag in einem anderen auf Grund von Rechtsvorschriften der Europäischen Union oder eines völkerrechtlichen Vertrages für die Durchführung des Asylverfahrens zuständigen Staat gestellt oder vor der Entscheidung des Bundesamtes zurückgenommen hat. Einer vorherigen Androhung und Fristsetzung bedarf es nicht. Kann eine Abschiebungsanordnung nach Satz 1 oder 2 nicht ergehen, droht das Bundesamt die Abschiebung in den jeweiligen Staat an.</w:t>
                  </w:r>
                </w:p>
              </w:tc>
            </w:tr>
          </w:tbl>
          <w:p w:rsidR="003E0F56" w:rsidRPr="003E0F56" w:rsidRDefault="003E0F56" w:rsidP="003E0F56">
            <w:pPr>
              <w:spacing w:after="0" w:line="302" w:lineRule="atLeast"/>
              <w:rPr>
                <w:rFonts w:ascii="Arial" w:eastAsia="Times New Roman" w:hAnsi="Arial" w:cs="Arial"/>
                <w:vanish/>
                <w:lang w:eastAsia="en-GB"/>
              </w:rPr>
            </w:pPr>
          </w:p>
          <w:tbl>
            <w:tblPr>
              <w:tblW w:w="0" w:type="auto"/>
              <w:tblCellSpacing w:w="15" w:type="dxa"/>
              <w:tblInd w:w="120" w:type="dxa"/>
              <w:tblCellMar>
                <w:top w:w="15" w:type="dxa"/>
                <w:left w:w="15" w:type="dxa"/>
                <w:bottom w:w="15" w:type="dxa"/>
                <w:right w:w="15" w:type="dxa"/>
              </w:tblCellMar>
              <w:tblLook w:val="04A0" w:firstRow="1" w:lastRow="0" w:firstColumn="1" w:lastColumn="0" w:noHBand="0" w:noVBand="1"/>
            </w:tblPr>
            <w:tblGrid>
              <w:gridCol w:w="8491"/>
            </w:tblGrid>
            <w:tr w:rsidR="003E0F56" w:rsidRPr="003E0F56">
              <w:trPr>
                <w:tblCellSpacing w:w="15" w:type="dxa"/>
              </w:trPr>
              <w:tc>
                <w:tcPr>
                  <w:tcW w:w="0" w:type="auto"/>
                  <w:vAlign w:val="center"/>
                  <w:hideMark/>
                </w:tcPr>
                <w:p w:rsidR="003E0F56" w:rsidRPr="003E0F56" w:rsidRDefault="003E0F56" w:rsidP="003E0F56">
                  <w:pPr>
                    <w:spacing w:after="0" w:line="272" w:lineRule="atLeast"/>
                    <w:rPr>
                      <w:rFonts w:ascii="Arial" w:eastAsia="Times New Roman" w:hAnsi="Arial" w:cs="Arial"/>
                      <w:sz w:val="19"/>
                      <w:szCs w:val="19"/>
                      <w:lang w:eastAsia="en-GB"/>
                    </w:rPr>
                  </w:pPr>
                  <w:r w:rsidRPr="003E0F56">
                    <w:rPr>
                      <w:rFonts w:ascii="Arial" w:eastAsia="Times New Roman" w:hAnsi="Arial" w:cs="Arial"/>
                      <w:sz w:val="19"/>
                      <w:szCs w:val="19"/>
                      <w:lang w:eastAsia="en-GB"/>
                    </w:rPr>
                    <w:t>Anträge nach § 80 Absatz 5 der Verwaltungsgerichtsordnung gegen die Abschiebungsanordnung sind innerhalb einer Woche nach Bekanntgabe zu stellen. Die Abschiebung ist bei rechtzeitiger Antragstellung vor der gerichtlichen Entscheidung nicht zulässig...</w:t>
                  </w:r>
                </w:p>
              </w:tc>
            </w:tr>
          </w:tbl>
          <w:p w:rsidR="003E0F56" w:rsidRPr="003E0F56" w:rsidRDefault="003E0F56" w:rsidP="003E0F56">
            <w:pPr>
              <w:spacing w:after="0" w:line="302" w:lineRule="atLeast"/>
              <w:rPr>
                <w:rFonts w:ascii="Arial" w:eastAsia="Times New Roman" w:hAnsi="Arial" w:cs="Arial"/>
                <w:lang w:eastAsia="en-GB"/>
              </w:rPr>
            </w:pPr>
          </w:p>
        </w:tc>
      </w:tr>
      <w:tr w:rsidR="003E0F56" w:rsidRPr="003E0F56" w:rsidTr="003E0F56">
        <w:trPr>
          <w:tblCellSpacing w:w="15" w:type="dxa"/>
        </w:trPr>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5"/>
            </w:tblGrid>
            <w:tr w:rsidR="003E0F56" w:rsidRPr="003E0F56">
              <w:trPr>
                <w:tblCellSpacing w:w="15" w:type="dxa"/>
              </w:trPr>
              <w:tc>
                <w:tcPr>
                  <w:tcW w:w="0" w:type="auto"/>
                  <w:vAlign w:val="center"/>
                  <w:hideMark/>
                </w:tcPr>
                <w:p w:rsidR="003E0F56" w:rsidRPr="003E0F56" w:rsidRDefault="003E0F56" w:rsidP="003E0F56">
                  <w:pPr>
                    <w:spacing w:after="0" w:line="272" w:lineRule="atLeast"/>
                    <w:rPr>
                      <w:rFonts w:ascii="Arial" w:eastAsia="Times New Roman" w:hAnsi="Arial" w:cs="Arial"/>
                      <w:sz w:val="19"/>
                      <w:szCs w:val="19"/>
                      <w:lang w:eastAsia="en-GB"/>
                    </w:rPr>
                  </w:pPr>
                  <w:r w:rsidRPr="003E0F56">
                    <w:rPr>
                      <w:rFonts w:ascii="Arial" w:eastAsia="Times New Roman" w:hAnsi="Arial" w:cs="Arial"/>
                      <w:sz w:val="19"/>
                      <w:szCs w:val="19"/>
                      <w:lang w:eastAsia="en-GB"/>
                    </w:rPr>
                    <w:t>17 </w:t>
                  </w:r>
                </w:p>
              </w:tc>
            </w:tr>
          </w:tbl>
          <w:p w:rsidR="003E0F56" w:rsidRPr="003E0F56" w:rsidRDefault="003E0F56" w:rsidP="003E0F56">
            <w:pPr>
              <w:spacing w:after="0" w:line="302" w:lineRule="atLeast"/>
              <w:rPr>
                <w:rFonts w:ascii="Arial" w:eastAsia="Times New Roman" w:hAnsi="Arial" w:cs="Arial"/>
                <w:lang w:eastAsia="en-GB"/>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11"/>
            </w:tblGrid>
            <w:tr w:rsidR="003E0F56" w:rsidRPr="003E0F56">
              <w:trPr>
                <w:tblCellSpacing w:w="15" w:type="dxa"/>
              </w:trPr>
              <w:tc>
                <w:tcPr>
                  <w:tcW w:w="0" w:type="auto"/>
                  <w:vAlign w:val="center"/>
                  <w:hideMark/>
                </w:tcPr>
                <w:p w:rsidR="003E0F56" w:rsidRPr="003E0F56" w:rsidRDefault="003E0F56" w:rsidP="003E0F56">
                  <w:pPr>
                    <w:spacing w:after="0" w:line="272" w:lineRule="atLeast"/>
                    <w:rPr>
                      <w:rFonts w:ascii="Arial" w:eastAsia="Times New Roman" w:hAnsi="Arial" w:cs="Arial"/>
                      <w:sz w:val="19"/>
                      <w:szCs w:val="19"/>
                      <w:lang w:eastAsia="en-GB"/>
                    </w:rPr>
                  </w:pPr>
                  <w:r w:rsidRPr="003E0F56">
                    <w:rPr>
                      <w:rFonts w:ascii="Arial" w:eastAsia="Times New Roman" w:hAnsi="Arial" w:cs="Arial"/>
                      <w:sz w:val="19"/>
                      <w:szCs w:val="19"/>
                      <w:lang w:eastAsia="en-GB"/>
                    </w:rPr>
                    <w:t>Auf die Auslegung der unionsrechtlichen Vorschriften kommt es nach Auffassung des Senats entscheidungserheblich an. Denn zum einen steht die vom Kläger aufgenommene Ausbildung einer Überstellung nicht entgegen, insbesondere konnte der Kläger kein schützenwertes Vertrauen entwickeln, auch in der Zukunft nach einem negativen Ausgang dieses Rechtsstreits weiter in der Bundesrepublik Deutschland verbleiben zu können. Dem Kläger wird keine Duldung nach § 60 Abs. 2 Satz 4 AufenthG zu erteilen sein, denn mit Erlass der Abschiebungsanordnung waren aufenthaltsbeendende Maßnahmen bereits eingeleitet. Auch die Erteilung einer Duldung nach § 60a Abs. 2 Satz 3 AufenthG scheidet aus, insbesondere kommt mit Rücksicht auf das nicht schutzwürdige Vertrauen in eine Fortsetzung der Ausbildung keine Ermessensreduzierung in Betracht, wie der Kläger meint. Nach den dem Senat vorliegenden Erkenntnismittel, insbesondere dem Bericht von </w:t>
                  </w:r>
                  <w:r w:rsidRPr="003E0F56">
                    <w:rPr>
                      <w:rFonts w:ascii="Arial" w:eastAsia="Times New Roman" w:hAnsi="Arial" w:cs="Arial"/>
                      <w:b/>
                      <w:bCs/>
                      <w:color w:val="FF0000"/>
                      <w:sz w:val="19"/>
                      <w:szCs w:val="19"/>
                      <w:shd w:val="clear" w:color="auto" w:fill="EEF3F9"/>
                      <w:lang w:eastAsia="en-GB"/>
                    </w:rPr>
                    <w:t>aida</w:t>
                  </w:r>
                  <w:r w:rsidRPr="003E0F56">
                    <w:rPr>
                      <w:rFonts w:ascii="Arial" w:eastAsia="Times New Roman" w:hAnsi="Arial" w:cs="Arial"/>
                      <w:sz w:val="19"/>
                      <w:szCs w:val="19"/>
                      <w:lang w:eastAsia="en-GB"/>
                    </w:rPr>
                    <w:t> "Country Report: Italy" (February 2017) leiden das Asylverfahren und die Aufnahmebedingungen trotz diverser erheblicher Mängel an keinen systemischen Schwachstellen, die gerade den allein stehenden Kläger, der keine gesundheitlichen Einschränkungen hat, dem beachtlichen Risiko einer Schlechtbehandlung im Sinne Art. 4 GRCh aussetzen würde, wenn er zur Durchführung eines (wohl weiteren) Asylverfahrens nach Italien überstellt werden würde. Entgegen der Auffassung des Klägers sind die angegriffenen Bescheide auch nicht aufzuheben, auch wenn das Bundesamt noch nicht über das Vorliegen von nationalen Abschiebungsverboten entschieden hat. Dies beruht darauf, dass § 31 Abs. 3 Satz 1 AsylG in der hier maßgeblichen Fassung, zum Zeitpunkt seiner Entscheidung noch nicht gegolten hatte, sondern erst am 6. August 2016 in Kraft getreten ist. Im Anschluss an vergleichbare in der Vergangenheit aufgetretene Fallkonstellationen geht der Senat im Anschluss an die Rechtsprechung des Bundesverwaltungsgerichts davon aus, dass dieser Streitgegenstand im Berufungsverfahren angewachsen ist (vgl. BVerwG, Urteil vom 18.02.1992 – 9 C 59.91 – NVwZ 1992, 892 zu § 51 Abs. 1 AuslG, vom 08.09.2011 – 10 C 14.10 und 10 C 15.10 – jew. juris zu § 60 Abs. 2, 3 und Abs. 7 Satz 2 AufenthG a.F.).</w:t>
                  </w:r>
                </w:p>
              </w:tc>
            </w:tr>
          </w:tbl>
          <w:p w:rsidR="003E0F56" w:rsidRPr="003E0F56" w:rsidRDefault="003E0F56" w:rsidP="003E0F56">
            <w:pPr>
              <w:spacing w:after="0" w:line="302" w:lineRule="atLeast"/>
              <w:rPr>
                <w:rFonts w:ascii="Arial" w:eastAsia="Times New Roman" w:hAnsi="Arial" w:cs="Arial"/>
                <w:lang w:eastAsia="en-GB"/>
              </w:rPr>
            </w:pPr>
          </w:p>
        </w:tc>
      </w:tr>
      <w:tr w:rsidR="003E0F56" w:rsidRPr="003E0F56" w:rsidTr="003E0F56">
        <w:trPr>
          <w:tblCellSpacing w:w="15" w:type="dxa"/>
        </w:trPr>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5"/>
            </w:tblGrid>
            <w:tr w:rsidR="003E0F56" w:rsidRPr="003E0F56">
              <w:trPr>
                <w:tblCellSpacing w:w="15" w:type="dxa"/>
              </w:trPr>
              <w:tc>
                <w:tcPr>
                  <w:tcW w:w="0" w:type="auto"/>
                  <w:vAlign w:val="center"/>
                  <w:hideMark/>
                </w:tcPr>
                <w:p w:rsidR="003E0F56" w:rsidRPr="003E0F56" w:rsidRDefault="003E0F56" w:rsidP="003E0F56">
                  <w:pPr>
                    <w:spacing w:after="0" w:line="272" w:lineRule="atLeast"/>
                    <w:rPr>
                      <w:rFonts w:ascii="Arial" w:eastAsia="Times New Roman" w:hAnsi="Arial" w:cs="Arial"/>
                      <w:sz w:val="19"/>
                      <w:szCs w:val="19"/>
                      <w:lang w:eastAsia="en-GB"/>
                    </w:rPr>
                  </w:pPr>
                  <w:r w:rsidRPr="003E0F56">
                    <w:rPr>
                      <w:rFonts w:ascii="Arial" w:eastAsia="Times New Roman" w:hAnsi="Arial" w:cs="Arial"/>
                      <w:sz w:val="19"/>
                      <w:szCs w:val="19"/>
                      <w:lang w:eastAsia="en-GB"/>
                    </w:rPr>
                    <w:lastRenderedPageBreak/>
                    <w:t>18 </w:t>
                  </w:r>
                </w:p>
              </w:tc>
            </w:tr>
          </w:tbl>
          <w:p w:rsidR="003E0F56" w:rsidRPr="003E0F56" w:rsidRDefault="003E0F56" w:rsidP="003E0F56">
            <w:pPr>
              <w:spacing w:after="0" w:line="302" w:lineRule="atLeast"/>
              <w:rPr>
                <w:rFonts w:ascii="Arial" w:eastAsia="Times New Roman" w:hAnsi="Arial" w:cs="Arial"/>
                <w:lang w:eastAsia="en-GB"/>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11"/>
            </w:tblGrid>
            <w:tr w:rsidR="003E0F56" w:rsidRPr="003E0F56">
              <w:trPr>
                <w:tblCellSpacing w:w="15" w:type="dxa"/>
              </w:trPr>
              <w:tc>
                <w:tcPr>
                  <w:tcW w:w="0" w:type="auto"/>
                  <w:vAlign w:val="center"/>
                  <w:hideMark/>
                </w:tcPr>
                <w:p w:rsidR="003E0F56" w:rsidRPr="003E0F56" w:rsidRDefault="003E0F56" w:rsidP="003E0F56">
                  <w:pPr>
                    <w:spacing w:after="0" w:line="272" w:lineRule="atLeast"/>
                    <w:rPr>
                      <w:rFonts w:ascii="Arial" w:eastAsia="Times New Roman" w:hAnsi="Arial" w:cs="Arial"/>
                      <w:sz w:val="19"/>
                      <w:szCs w:val="19"/>
                      <w:lang w:eastAsia="en-GB"/>
                    </w:rPr>
                  </w:pPr>
                  <w:r w:rsidRPr="003E0F56">
                    <w:rPr>
                      <w:rFonts w:ascii="Arial" w:eastAsia="Times New Roman" w:hAnsi="Arial" w:cs="Arial"/>
                      <w:sz w:val="19"/>
                      <w:szCs w:val="19"/>
                      <w:lang w:eastAsia="en-GB"/>
                    </w:rPr>
                    <w:t>Nach Auffassung des Senats führt auch die in Italien erfolgte Erteilung eines ein Jahr gültigen Aufenthaltstitels aus humanitären Gründen nicht zur Unanwendbarkeit der Verordnung (EU) Nr. 604/2013. Mit der Erteilung dieses Titels ist dem Kläger kein internationaler Schutz im Sinne der RL 2011/95/EU gewährt worden.</w:t>
                  </w:r>
                </w:p>
              </w:tc>
            </w:tr>
          </w:tbl>
          <w:p w:rsidR="003E0F56" w:rsidRPr="003E0F56" w:rsidRDefault="003E0F56" w:rsidP="003E0F56">
            <w:pPr>
              <w:spacing w:after="0" w:line="302" w:lineRule="atLeast"/>
              <w:rPr>
                <w:rFonts w:ascii="Arial" w:eastAsia="Times New Roman" w:hAnsi="Arial" w:cs="Arial"/>
                <w:lang w:eastAsia="en-GB"/>
              </w:rPr>
            </w:pPr>
          </w:p>
        </w:tc>
      </w:tr>
      <w:tr w:rsidR="003E0F56" w:rsidRPr="003E0F56" w:rsidTr="003E0F56">
        <w:trPr>
          <w:tblCellSpacing w:w="15" w:type="dxa"/>
        </w:trPr>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5"/>
            </w:tblGrid>
            <w:tr w:rsidR="003E0F56" w:rsidRPr="003E0F56">
              <w:trPr>
                <w:tblCellSpacing w:w="15" w:type="dxa"/>
              </w:trPr>
              <w:tc>
                <w:tcPr>
                  <w:tcW w:w="0" w:type="auto"/>
                  <w:vAlign w:val="center"/>
                  <w:hideMark/>
                </w:tcPr>
                <w:p w:rsidR="003E0F56" w:rsidRPr="003E0F56" w:rsidRDefault="003E0F56" w:rsidP="003E0F56">
                  <w:pPr>
                    <w:spacing w:after="0" w:line="272" w:lineRule="atLeast"/>
                    <w:rPr>
                      <w:rFonts w:ascii="Arial" w:eastAsia="Times New Roman" w:hAnsi="Arial" w:cs="Arial"/>
                      <w:sz w:val="19"/>
                      <w:szCs w:val="19"/>
                      <w:lang w:eastAsia="en-GB"/>
                    </w:rPr>
                  </w:pPr>
                  <w:r w:rsidRPr="003E0F56">
                    <w:rPr>
                      <w:rFonts w:ascii="Arial" w:eastAsia="Times New Roman" w:hAnsi="Arial" w:cs="Arial"/>
                      <w:sz w:val="19"/>
                      <w:szCs w:val="19"/>
                      <w:lang w:eastAsia="en-GB"/>
                    </w:rPr>
                    <w:t>19 </w:t>
                  </w:r>
                </w:p>
              </w:tc>
            </w:tr>
          </w:tbl>
          <w:p w:rsidR="003E0F56" w:rsidRPr="003E0F56" w:rsidRDefault="003E0F56" w:rsidP="003E0F56">
            <w:pPr>
              <w:spacing w:after="0" w:line="302" w:lineRule="atLeast"/>
              <w:rPr>
                <w:rFonts w:ascii="Arial" w:eastAsia="Times New Roman" w:hAnsi="Arial" w:cs="Arial"/>
                <w:lang w:eastAsia="en-GB"/>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50"/>
            </w:tblGrid>
            <w:tr w:rsidR="003E0F56" w:rsidRPr="003E0F56">
              <w:trPr>
                <w:tblCellSpacing w:w="15" w:type="dxa"/>
              </w:trPr>
              <w:tc>
                <w:tcPr>
                  <w:tcW w:w="0" w:type="auto"/>
                  <w:vAlign w:val="center"/>
                  <w:hideMark/>
                </w:tcPr>
                <w:p w:rsidR="003E0F56" w:rsidRPr="003E0F56" w:rsidRDefault="003E0F56" w:rsidP="003E0F56">
                  <w:pPr>
                    <w:spacing w:after="0" w:line="272" w:lineRule="atLeast"/>
                    <w:rPr>
                      <w:rFonts w:ascii="Arial" w:eastAsia="Times New Roman" w:hAnsi="Arial" w:cs="Arial"/>
                      <w:sz w:val="19"/>
                      <w:szCs w:val="19"/>
                      <w:lang w:eastAsia="en-GB"/>
                    </w:rPr>
                  </w:pPr>
                  <w:r w:rsidRPr="003E0F56">
                    <w:rPr>
                      <w:rFonts w:ascii="Arial" w:eastAsia="Times New Roman" w:hAnsi="Arial" w:cs="Arial"/>
                      <w:sz w:val="19"/>
                      <w:szCs w:val="19"/>
                      <w:lang w:eastAsia="en-GB"/>
                    </w:rPr>
                    <w:t>Zur ersten Vorlagefrage:</w:t>
                  </w:r>
                </w:p>
              </w:tc>
            </w:tr>
          </w:tbl>
          <w:p w:rsidR="003E0F56" w:rsidRPr="003E0F56" w:rsidRDefault="003E0F56" w:rsidP="003E0F56">
            <w:pPr>
              <w:spacing w:after="0" w:line="302" w:lineRule="atLeast"/>
              <w:rPr>
                <w:rFonts w:ascii="Arial" w:eastAsia="Times New Roman" w:hAnsi="Arial" w:cs="Arial"/>
                <w:lang w:eastAsia="en-GB"/>
              </w:rPr>
            </w:pPr>
          </w:p>
        </w:tc>
      </w:tr>
      <w:tr w:rsidR="003E0F56" w:rsidRPr="003E0F56" w:rsidTr="003E0F56">
        <w:trPr>
          <w:tblCellSpacing w:w="15" w:type="dxa"/>
        </w:trPr>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5"/>
            </w:tblGrid>
            <w:tr w:rsidR="003E0F56" w:rsidRPr="003E0F56">
              <w:trPr>
                <w:tblCellSpacing w:w="15" w:type="dxa"/>
              </w:trPr>
              <w:tc>
                <w:tcPr>
                  <w:tcW w:w="0" w:type="auto"/>
                  <w:vAlign w:val="center"/>
                  <w:hideMark/>
                </w:tcPr>
                <w:p w:rsidR="003E0F56" w:rsidRPr="003E0F56" w:rsidRDefault="003E0F56" w:rsidP="003E0F56">
                  <w:pPr>
                    <w:spacing w:after="0" w:line="272" w:lineRule="atLeast"/>
                    <w:rPr>
                      <w:rFonts w:ascii="Arial" w:eastAsia="Times New Roman" w:hAnsi="Arial" w:cs="Arial"/>
                      <w:sz w:val="19"/>
                      <w:szCs w:val="19"/>
                      <w:lang w:eastAsia="en-GB"/>
                    </w:rPr>
                  </w:pPr>
                  <w:r w:rsidRPr="003E0F56">
                    <w:rPr>
                      <w:rFonts w:ascii="Arial" w:eastAsia="Times New Roman" w:hAnsi="Arial" w:cs="Arial"/>
                      <w:sz w:val="19"/>
                      <w:szCs w:val="19"/>
                      <w:lang w:eastAsia="en-GB"/>
                    </w:rPr>
                    <w:t>20 </w:t>
                  </w:r>
                </w:p>
              </w:tc>
            </w:tr>
          </w:tbl>
          <w:p w:rsidR="003E0F56" w:rsidRPr="003E0F56" w:rsidRDefault="003E0F56" w:rsidP="003E0F56">
            <w:pPr>
              <w:spacing w:after="0" w:line="302" w:lineRule="atLeast"/>
              <w:rPr>
                <w:rFonts w:ascii="Arial" w:eastAsia="Times New Roman" w:hAnsi="Arial" w:cs="Arial"/>
                <w:lang w:eastAsia="en-GB"/>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11"/>
            </w:tblGrid>
            <w:tr w:rsidR="003E0F56" w:rsidRPr="003E0F56">
              <w:trPr>
                <w:tblCellSpacing w:w="15" w:type="dxa"/>
              </w:trPr>
              <w:tc>
                <w:tcPr>
                  <w:tcW w:w="0" w:type="auto"/>
                  <w:vAlign w:val="center"/>
                  <w:hideMark/>
                </w:tcPr>
                <w:p w:rsidR="003E0F56" w:rsidRPr="003E0F56" w:rsidRDefault="003E0F56" w:rsidP="003E0F56">
                  <w:pPr>
                    <w:spacing w:after="0" w:line="272" w:lineRule="atLeast"/>
                    <w:rPr>
                      <w:rFonts w:ascii="Arial" w:eastAsia="Times New Roman" w:hAnsi="Arial" w:cs="Arial"/>
                      <w:sz w:val="19"/>
                      <w:szCs w:val="19"/>
                      <w:lang w:eastAsia="en-GB"/>
                    </w:rPr>
                  </w:pPr>
                  <w:r w:rsidRPr="003E0F56">
                    <w:rPr>
                      <w:rFonts w:ascii="Arial" w:eastAsia="Times New Roman" w:hAnsi="Arial" w:cs="Arial"/>
                      <w:sz w:val="19"/>
                      <w:szCs w:val="19"/>
                      <w:lang w:eastAsia="en-GB"/>
                    </w:rPr>
                    <w:t xml:space="preserve">Eine erste zentrale Weichenstellung nimmt der vorliegende Fall mit der Beantwortung der Frage, ob der Kläger 16. Juni 2015, d.h. am Tag der Meldung des Bundesamts an das italienische Innenministerium, "flüchtig" im Sinne des Art. 29 Abs. 2 Satz 2 Verordnung (EU) Nr.604/2013 war. Denn durch die spätere Anordnung der aufschiebenden Wirkung mit Beschluss vom 18. Februar 2016, der erst nach Ablauf der 6-Montsfrist ergangen war, hätte die abgelaufene Frist nicht mehr verlängert oder unterbrochen werden können. Die Fragestellung erfährt im vorliegenden Fall insofern eine ungewöhnliche Zuspitzung als nach dem unstreitigen Sachverhalt der Kläger sich genau an dem Tag, an dem die Mitteilung an die italienischen Behörden erfolgt war, wieder bei der Stadt Heidelberg gemeldet hat, eine entsprechende Information aber nicht mehr an das Bundesamt gelangt war. Es ist nicht feststellbar, ob zum genauen Zeitpunkt der Meldung bei der Stadt Heidelberg die Information des italienischen Innenministeriums durch das Bundesamt für Migration und Flüchtlinge bereits erfolgt war oder nicht. Geht man von der Legaldefinition der Fluchtgefahr in Art. 2 lit. n) Verordnung (EU) Nr.604/2013 aus, wonach ein "Entziehen" durch Flucht festgestellt werden muss, so liegt auch nach dem allgemeinen Wortsinn nahe, im Begriff des "Entziehens" ein Element des Planvollen und Vorsätzlichen bzw. Bewussten zu sehen, mit anderen Worten ein Verhalten, das bewusst in Bezug auf die erwartete Überstellung erfolgt ist. Ein Flüchtigsein wäre nicht schon dann anzunehmen, wenn der oder die Betreffende nicht angetroffen wird und bei dieser Gelegenheit der aktuelle Aufenthaltsort nicht ermittelt werden kann. Die englische Fassung spricht in Art. 2 lit. n) bzw. Art. 29 Abs. 2 Satz 2 Verordnung (EU) Nr.604/2013 allerdings (nur) von "risk of absconding" bzw. von "if the person concerned absconds"; im Französischen ist demgegenüber wiederum Rede von "risque de fuite" und "si la personne concernée prend la fuite". Jedenfalls die deutsche wie auch die französische Fassungen legen ein weites Verständnis nicht nahe. Nur der Vollständigkeit halber weist der Senat darauf hin, dass sich aus den öffentlich zugänglichen Materialien des Normsetzungsverfahrens nichts Erhellendes ablesen lässt. Die Vorschrift des Art. 29 Abs. 2 Verordnung (EU) Nr.604/2013 entspricht wörtlich der des Art. 20 Abs. 2 Verordnung (EG) 343/2003. Im Kommissionsentwurf (KOM/2001/0447endg – ABl. C 2001, 304 E, 192) war der hier interessierende Satz 2 noch gar nicht enthalten. Er wurde, soweit ersichtlich, erst im Kontext der abschließenden Beratungen des Rates eingefügt. Andererseits sieht der Senat keine Anhaltspunkte dafür, dass mit der Vorschrift des Art. 29 Abs. 2 Satz 2 Verordnung (EU) Nr. 604/2013 ein missbilligtes Verhalten des Ausländers sanktioniert werden soll. Der Senat versteht Sinn und Zweck der Vorschrift dahin gehend, dass das effektive Funktionieren des Dublin-Systems gesichert werden soll. Dieses Funktionieren kann erheblich beeinträchtigt werden, wenn die Überstellungen nicht zeitnah erfolgen können, weil dem Gründe entgegen stehen, die nicht in die Verantwortungssphäre des überstellenden Mitgliedstaat fallen. Im Übrigen würden praktisch gesehen oftmals erhebliche Ermittlungs- bzw. Beweisschwierigkeiten bestehen, wenn den Betroffenen nachgewiesen werden müsste, dass sie sich gerade, um eine Überstellung unmöglich zu machen oder zu erschweren, von ihrer Wohnung entfernt bzw. sich verborgen hatten. Hiervon ausgehend sprechen gute Gründe dafür, es ausreichen zu lassen, dass der zuständigen Behörde der Aufenthalt zum Zeitpunkt des Überstellungsversuchs und auch noch zum Zeitpunkt der Information der zuständige Behörde des zuständigen Mitgliedstaat nicht bekannt war und es auch keine verlässlichen Anhaltspunkte für diese gab, wie der aktuelle Aufenthalt in zumutbarer Weise zu ermitteln sein könnte. Der Vollständigkeit halber ist darauf hinzuweisen, dass zuständige Behörden hier im konkreten Fall das Bundesamt für Migration und Flüchtlinge - für das Asylverfahren - sowie das Regierungspräsidium Karlsruhe - für die Durchführung der Überstellung - waren. Legt man diese weitere Verständnis der Norm zugrunde, so </w:t>
                  </w:r>
                  <w:r w:rsidRPr="003E0F56">
                    <w:rPr>
                      <w:rFonts w:ascii="Arial" w:eastAsia="Times New Roman" w:hAnsi="Arial" w:cs="Arial"/>
                      <w:sz w:val="19"/>
                      <w:szCs w:val="19"/>
                      <w:lang w:eastAsia="en-GB"/>
                    </w:rPr>
                    <w:lastRenderedPageBreak/>
                    <w:t>wäre der Kläger, insbesondere nach seinen Angaben in der mündlichen Verhandlung auch noch am 16. Juni 2015 flüchtig gewesen, zumal sich aus diesen noch nicht einmal entnehmen lässt, ob überhaupt oder ggf. wann er wieder nach Heidelberg zurückkehren wollte.</w:t>
                  </w:r>
                </w:p>
              </w:tc>
            </w:tr>
          </w:tbl>
          <w:p w:rsidR="003E0F56" w:rsidRPr="003E0F56" w:rsidRDefault="003E0F56" w:rsidP="003E0F56">
            <w:pPr>
              <w:spacing w:after="0" w:line="302" w:lineRule="atLeast"/>
              <w:rPr>
                <w:rFonts w:ascii="Arial" w:eastAsia="Times New Roman" w:hAnsi="Arial" w:cs="Arial"/>
                <w:lang w:eastAsia="en-GB"/>
              </w:rPr>
            </w:pPr>
          </w:p>
        </w:tc>
      </w:tr>
      <w:tr w:rsidR="003E0F56" w:rsidRPr="003E0F56" w:rsidTr="003E0F56">
        <w:trPr>
          <w:tblCellSpacing w:w="15" w:type="dxa"/>
        </w:trPr>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5"/>
            </w:tblGrid>
            <w:tr w:rsidR="003E0F56" w:rsidRPr="003E0F56">
              <w:trPr>
                <w:tblCellSpacing w:w="15" w:type="dxa"/>
              </w:trPr>
              <w:tc>
                <w:tcPr>
                  <w:tcW w:w="0" w:type="auto"/>
                  <w:vAlign w:val="center"/>
                  <w:hideMark/>
                </w:tcPr>
                <w:p w:rsidR="003E0F56" w:rsidRPr="003E0F56" w:rsidRDefault="003E0F56" w:rsidP="003E0F56">
                  <w:pPr>
                    <w:spacing w:after="0" w:line="272" w:lineRule="atLeast"/>
                    <w:rPr>
                      <w:rFonts w:ascii="Arial" w:eastAsia="Times New Roman" w:hAnsi="Arial" w:cs="Arial"/>
                      <w:sz w:val="19"/>
                      <w:szCs w:val="19"/>
                      <w:lang w:eastAsia="en-GB"/>
                    </w:rPr>
                  </w:pPr>
                  <w:r w:rsidRPr="003E0F56">
                    <w:rPr>
                      <w:rFonts w:ascii="Arial" w:eastAsia="Times New Roman" w:hAnsi="Arial" w:cs="Arial"/>
                      <w:sz w:val="19"/>
                      <w:szCs w:val="19"/>
                      <w:lang w:eastAsia="en-GB"/>
                    </w:rPr>
                    <w:lastRenderedPageBreak/>
                    <w:t>21 </w:t>
                  </w:r>
                </w:p>
              </w:tc>
            </w:tr>
          </w:tbl>
          <w:p w:rsidR="003E0F56" w:rsidRPr="003E0F56" w:rsidRDefault="003E0F56" w:rsidP="003E0F56">
            <w:pPr>
              <w:spacing w:after="0" w:line="302" w:lineRule="atLeast"/>
              <w:rPr>
                <w:rFonts w:ascii="Arial" w:eastAsia="Times New Roman" w:hAnsi="Arial" w:cs="Arial"/>
                <w:lang w:eastAsia="en-GB"/>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11"/>
            </w:tblGrid>
            <w:tr w:rsidR="003E0F56" w:rsidRPr="003E0F56">
              <w:trPr>
                <w:tblCellSpacing w:w="15" w:type="dxa"/>
              </w:trPr>
              <w:tc>
                <w:tcPr>
                  <w:tcW w:w="0" w:type="auto"/>
                  <w:vAlign w:val="center"/>
                  <w:hideMark/>
                </w:tcPr>
                <w:p w:rsidR="003E0F56" w:rsidRPr="003E0F56" w:rsidRDefault="003E0F56" w:rsidP="003E0F56">
                  <w:pPr>
                    <w:spacing w:after="0" w:line="272" w:lineRule="atLeast"/>
                    <w:rPr>
                      <w:rFonts w:ascii="Arial" w:eastAsia="Times New Roman" w:hAnsi="Arial" w:cs="Arial"/>
                      <w:sz w:val="19"/>
                      <w:szCs w:val="19"/>
                      <w:lang w:eastAsia="en-GB"/>
                    </w:rPr>
                  </w:pPr>
                  <w:r w:rsidRPr="003E0F56">
                    <w:rPr>
                      <w:rFonts w:ascii="Arial" w:eastAsia="Times New Roman" w:hAnsi="Arial" w:cs="Arial"/>
                      <w:sz w:val="19"/>
                      <w:szCs w:val="19"/>
                      <w:lang w:eastAsia="en-GB"/>
                    </w:rPr>
                    <w:t>Im Anschluss an die Rechtsprechung des Gerichtshofs im Urteil vom 07. Juni 2016 (C-63/15) geht der Senat davon aus, dass durch die Vorschrift des Art. 29 Abs. 2 Satz 2 Verordnung (EU) Nr. 604/2013 auch unmittelbar Rechte des Ausländers berührt werden.</w:t>
                  </w:r>
                </w:p>
              </w:tc>
            </w:tr>
          </w:tbl>
          <w:p w:rsidR="003E0F56" w:rsidRPr="003E0F56" w:rsidRDefault="003E0F56" w:rsidP="003E0F56">
            <w:pPr>
              <w:spacing w:after="0" w:line="302" w:lineRule="atLeast"/>
              <w:rPr>
                <w:rFonts w:ascii="Arial" w:eastAsia="Times New Roman" w:hAnsi="Arial" w:cs="Arial"/>
                <w:lang w:eastAsia="en-GB"/>
              </w:rPr>
            </w:pPr>
          </w:p>
        </w:tc>
      </w:tr>
      <w:tr w:rsidR="003E0F56" w:rsidRPr="003E0F56" w:rsidTr="003E0F56">
        <w:trPr>
          <w:tblCellSpacing w:w="15" w:type="dxa"/>
        </w:trPr>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5"/>
            </w:tblGrid>
            <w:tr w:rsidR="003E0F56" w:rsidRPr="003E0F56">
              <w:trPr>
                <w:tblCellSpacing w:w="15" w:type="dxa"/>
              </w:trPr>
              <w:tc>
                <w:tcPr>
                  <w:tcW w:w="0" w:type="auto"/>
                  <w:vAlign w:val="center"/>
                  <w:hideMark/>
                </w:tcPr>
                <w:p w:rsidR="003E0F56" w:rsidRPr="003E0F56" w:rsidRDefault="003E0F56" w:rsidP="003E0F56">
                  <w:pPr>
                    <w:spacing w:after="0" w:line="272" w:lineRule="atLeast"/>
                    <w:rPr>
                      <w:rFonts w:ascii="Arial" w:eastAsia="Times New Roman" w:hAnsi="Arial" w:cs="Arial"/>
                      <w:sz w:val="19"/>
                      <w:szCs w:val="19"/>
                      <w:lang w:eastAsia="en-GB"/>
                    </w:rPr>
                  </w:pPr>
                  <w:r w:rsidRPr="003E0F56">
                    <w:rPr>
                      <w:rFonts w:ascii="Arial" w:eastAsia="Times New Roman" w:hAnsi="Arial" w:cs="Arial"/>
                      <w:sz w:val="19"/>
                      <w:szCs w:val="19"/>
                      <w:lang w:eastAsia="en-GB"/>
                    </w:rPr>
                    <w:t>22 </w:t>
                  </w:r>
                </w:p>
              </w:tc>
            </w:tr>
          </w:tbl>
          <w:p w:rsidR="003E0F56" w:rsidRPr="003E0F56" w:rsidRDefault="003E0F56" w:rsidP="003E0F56">
            <w:pPr>
              <w:spacing w:after="0" w:line="302" w:lineRule="atLeast"/>
              <w:rPr>
                <w:rFonts w:ascii="Arial" w:eastAsia="Times New Roman" w:hAnsi="Arial" w:cs="Arial"/>
                <w:lang w:eastAsia="en-GB"/>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66"/>
            </w:tblGrid>
            <w:tr w:rsidR="003E0F56" w:rsidRPr="003E0F56">
              <w:trPr>
                <w:tblCellSpacing w:w="15" w:type="dxa"/>
              </w:trPr>
              <w:tc>
                <w:tcPr>
                  <w:tcW w:w="0" w:type="auto"/>
                  <w:vAlign w:val="center"/>
                  <w:hideMark/>
                </w:tcPr>
                <w:p w:rsidR="003E0F56" w:rsidRPr="003E0F56" w:rsidRDefault="003E0F56" w:rsidP="003E0F56">
                  <w:pPr>
                    <w:spacing w:after="0" w:line="272" w:lineRule="atLeast"/>
                    <w:rPr>
                      <w:rFonts w:ascii="Arial" w:eastAsia="Times New Roman" w:hAnsi="Arial" w:cs="Arial"/>
                      <w:sz w:val="19"/>
                      <w:szCs w:val="19"/>
                      <w:lang w:eastAsia="en-GB"/>
                    </w:rPr>
                  </w:pPr>
                  <w:r w:rsidRPr="003E0F56">
                    <w:rPr>
                      <w:rFonts w:ascii="Arial" w:eastAsia="Times New Roman" w:hAnsi="Arial" w:cs="Arial"/>
                      <w:sz w:val="19"/>
                      <w:szCs w:val="19"/>
                      <w:lang w:eastAsia="en-GB"/>
                    </w:rPr>
                    <w:t>Zur zweiten Vorlagefrage:</w:t>
                  </w:r>
                </w:p>
              </w:tc>
            </w:tr>
          </w:tbl>
          <w:p w:rsidR="003E0F56" w:rsidRPr="003E0F56" w:rsidRDefault="003E0F56" w:rsidP="003E0F56">
            <w:pPr>
              <w:spacing w:after="0" w:line="302" w:lineRule="atLeast"/>
              <w:rPr>
                <w:rFonts w:ascii="Arial" w:eastAsia="Times New Roman" w:hAnsi="Arial" w:cs="Arial"/>
                <w:lang w:eastAsia="en-GB"/>
              </w:rPr>
            </w:pPr>
          </w:p>
        </w:tc>
      </w:tr>
      <w:tr w:rsidR="003E0F56" w:rsidRPr="003E0F56" w:rsidTr="003E0F56">
        <w:trPr>
          <w:tblCellSpacing w:w="15" w:type="dxa"/>
        </w:trPr>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5"/>
            </w:tblGrid>
            <w:tr w:rsidR="003E0F56" w:rsidRPr="003E0F56">
              <w:trPr>
                <w:tblCellSpacing w:w="15" w:type="dxa"/>
              </w:trPr>
              <w:tc>
                <w:tcPr>
                  <w:tcW w:w="0" w:type="auto"/>
                  <w:vAlign w:val="center"/>
                  <w:hideMark/>
                </w:tcPr>
                <w:p w:rsidR="003E0F56" w:rsidRPr="003E0F56" w:rsidRDefault="003E0F56" w:rsidP="003E0F56">
                  <w:pPr>
                    <w:spacing w:after="0" w:line="272" w:lineRule="atLeast"/>
                    <w:rPr>
                      <w:rFonts w:ascii="Arial" w:eastAsia="Times New Roman" w:hAnsi="Arial" w:cs="Arial"/>
                      <w:sz w:val="19"/>
                      <w:szCs w:val="19"/>
                      <w:lang w:eastAsia="en-GB"/>
                    </w:rPr>
                  </w:pPr>
                  <w:r w:rsidRPr="003E0F56">
                    <w:rPr>
                      <w:rFonts w:ascii="Arial" w:eastAsia="Times New Roman" w:hAnsi="Arial" w:cs="Arial"/>
                      <w:sz w:val="19"/>
                      <w:szCs w:val="19"/>
                      <w:lang w:eastAsia="en-GB"/>
                    </w:rPr>
                    <w:t>23 </w:t>
                  </w:r>
                </w:p>
              </w:tc>
            </w:tr>
          </w:tbl>
          <w:p w:rsidR="003E0F56" w:rsidRPr="003E0F56" w:rsidRDefault="003E0F56" w:rsidP="003E0F56">
            <w:pPr>
              <w:spacing w:after="0" w:line="302" w:lineRule="atLeast"/>
              <w:rPr>
                <w:rFonts w:ascii="Arial" w:eastAsia="Times New Roman" w:hAnsi="Arial" w:cs="Arial"/>
                <w:lang w:eastAsia="en-GB"/>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11"/>
            </w:tblGrid>
            <w:tr w:rsidR="003E0F56" w:rsidRPr="003E0F56">
              <w:trPr>
                <w:tblCellSpacing w:w="15" w:type="dxa"/>
              </w:trPr>
              <w:tc>
                <w:tcPr>
                  <w:tcW w:w="0" w:type="auto"/>
                  <w:vAlign w:val="center"/>
                  <w:hideMark/>
                </w:tcPr>
                <w:p w:rsidR="003E0F56" w:rsidRPr="003E0F56" w:rsidRDefault="003E0F56" w:rsidP="003E0F56">
                  <w:pPr>
                    <w:spacing w:after="0" w:line="272" w:lineRule="atLeast"/>
                    <w:rPr>
                      <w:rFonts w:ascii="Arial" w:eastAsia="Times New Roman" w:hAnsi="Arial" w:cs="Arial"/>
                      <w:sz w:val="19"/>
                      <w:szCs w:val="19"/>
                      <w:lang w:eastAsia="en-GB"/>
                    </w:rPr>
                  </w:pPr>
                  <w:r w:rsidRPr="003E0F56">
                    <w:rPr>
                      <w:rFonts w:ascii="Arial" w:eastAsia="Times New Roman" w:hAnsi="Arial" w:cs="Arial"/>
                      <w:sz w:val="19"/>
                      <w:szCs w:val="19"/>
                      <w:lang w:eastAsia="en-GB"/>
                    </w:rPr>
                    <w:t>Was die Frage betrifft, auf welche Weise die Fristverlängerung im Falle der Flucht (oder Krankheit) bewirkt wird, legt der Wortlaut des Art. 29 Abs. 2 Satz 2 Verordnung (EU) Nr. 604/2013 auf den ersten Blick die Herstellung eines Einvernehmens zwischen den Mitgliedstaaten nahe. Denn es heißt dort gerade nicht, dass "sich die Frist verlängert". Andererseits deckt der Wortlaut – auf den zweiten Blick – auch ein Verständnis dahin gehend, dass der überstellende Mitgliedstaat die Fristverlängerung einseitig herbeiführen kann, indem er den aufnehmenden Mitgliedstaat vor Ablauf der regulären Frist informiert und eine konkrete Frist benennt, bis zu der die Überstellung durchgeführt werden wird; die Frist darf dann auch durchaus, wie hier geschehen den Spielraum von 18 Monaten nicht ausschöpfen. Der rechtliche Ansatz einer einvernehmlichen Verlängerung wäre nach Auffassung des Senats unpraktikabel und hätte vorhersehbar zur Folge, dass die Norm in vielen Fällen leer liefe. Von diesem Verständnis lässt sich offensichtlich auch der weiterhin gültige Art. 9 Abs. 2 Verordnung (EG) Nr. 1560/2003 leiten, der das vom Bundesamt für Migration und Flüchtlinge hier praktizierte Verfahren festlegt. Der Senat ist sich der Tatsache bewusst, dass diese Verordnung selbstverständlich nicht geeignet ist, das Verordnungsrecht des Rates materiell zu ändern. Da aber der Wortlaut der hier auszulegenden Bestimmung eine Auslegung in diesem Sinn nicht gänzlich ausschließt, legt nicht zuletzt der Grundsatz der praktischen Wirksamkeit des Unionsrechts ein entsprechendes Normverständnis nahe.</w:t>
                  </w:r>
                </w:p>
              </w:tc>
            </w:tr>
          </w:tbl>
          <w:p w:rsidR="003E0F56" w:rsidRPr="003E0F56" w:rsidRDefault="003E0F56" w:rsidP="003E0F56">
            <w:pPr>
              <w:spacing w:after="0" w:line="302" w:lineRule="atLeast"/>
              <w:rPr>
                <w:rFonts w:ascii="Arial" w:eastAsia="Times New Roman" w:hAnsi="Arial" w:cs="Arial"/>
                <w:lang w:eastAsia="en-GB"/>
              </w:rPr>
            </w:pPr>
          </w:p>
        </w:tc>
      </w:tr>
      <w:tr w:rsidR="003E0F56" w:rsidRPr="003E0F56" w:rsidTr="003E0F56">
        <w:trPr>
          <w:tblCellSpacing w:w="15" w:type="dxa"/>
        </w:trPr>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5"/>
            </w:tblGrid>
            <w:tr w:rsidR="003E0F56" w:rsidRPr="003E0F56">
              <w:trPr>
                <w:tblCellSpacing w:w="15" w:type="dxa"/>
              </w:trPr>
              <w:tc>
                <w:tcPr>
                  <w:tcW w:w="0" w:type="auto"/>
                  <w:vAlign w:val="center"/>
                  <w:hideMark/>
                </w:tcPr>
                <w:p w:rsidR="003E0F56" w:rsidRPr="003E0F56" w:rsidRDefault="003E0F56" w:rsidP="003E0F56">
                  <w:pPr>
                    <w:spacing w:after="0" w:line="272" w:lineRule="atLeast"/>
                    <w:rPr>
                      <w:rFonts w:ascii="Arial" w:eastAsia="Times New Roman" w:hAnsi="Arial" w:cs="Arial"/>
                      <w:sz w:val="19"/>
                      <w:szCs w:val="19"/>
                      <w:lang w:eastAsia="en-GB"/>
                    </w:rPr>
                  </w:pPr>
                  <w:r w:rsidRPr="003E0F56">
                    <w:rPr>
                      <w:rFonts w:ascii="Arial" w:eastAsia="Times New Roman" w:hAnsi="Arial" w:cs="Arial"/>
                      <w:sz w:val="19"/>
                      <w:szCs w:val="19"/>
                      <w:lang w:eastAsia="en-GB"/>
                    </w:rPr>
                    <w:t>24 </w:t>
                  </w:r>
                </w:p>
              </w:tc>
            </w:tr>
          </w:tbl>
          <w:p w:rsidR="003E0F56" w:rsidRPr="003E0F56" w:rsidRDefault="003E0F56" w:rsidP="003E0F56">
            <w:pPr>
              <w:spacing w:after="0" w:line="302" w:lineRule="atLeast"/>
              <w:rPr>
                <w:rFonts w:ascii="Arial" w:eastAsia="Times New Roman" w:hAnsi="Arial" w:cs="Arial"/>
                <w:lang w:eastAsia="en-GB"/>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50"/>
            </w:tblGrid>
            <w:tr w:rsidR="003E0F56" w:rsidRPr="003E0F56">
              <w:trPr>
                <w:tblCellSpacing w:w="15" w:type="dxa"/>
              </w:trPr>
              <w:tc>
                <w:tcPr>
                  <w:tcW w:w="0" w:type="auto"/>
                  <w:vAlign w:val="center"/>
                  <w:hideMark/>
                </w:tcPr>
                <w:p w:rsidR="003E0F56" w:rsidRPr="003E0F56" w:rsidRDefault="003E0F56" w:rsidP="003E0F56">
                  <w:pPr>
                    <w:spacing w:after="0" w:line="272" w:lineRule="atLeast"/>
                    <w:rPr>
                      <w:rFonts w:ascii="Arial" w:eastAsia="Times New Roman" w:hAnsi="Arial" w:cs="Arial"/>
                      <w:sz w:val="19"/>
                      <w:szCs w:val="19"/>
                      <w:lang w:eastAsia="en-GB"/>
                    </w:rPr>
                  </w:pPr>
                  <w:r w:rsidRPr="003E0F56">
                    <w:rPr>
                      <w:rFonts w:ascii="Arial" w:eastAsia="Times New Roman" w:hAnsi="Arial" w:cs="Arial"/>
                      <w:sz w:val="19"/>
                      <w:szCs w:val="19"/>
                      <w:lang w:eastAsia="en-GB"/>
                    </w:rPr>
                    <w:t>Zur dritten Vorlagefrage:</w:t>
                  </w:r>
                </w:p>
              </w:tc>
            </w:tr>
          </w:tbl>
          <w:p w:rsidR="003E0F56" w:rsidRPr="003E0F56" w:rsidRDefault="003E0F56" w:rsidP="003E0F56">
            <w:pPr>
              <w:spacing w:after="0" w:line="302" w:lineRule="atLeast"/>
              <w:rPr>
                <w:rFonts w:ascii="Arial" w:eastAsia="Times New Roman" w:hAnsi="Arial" w:cs="Arial"/>
                <w:lang w:eastAsia="en-GB"/>
              </w:rPr>
            </w:pPr>
          </w:p>
        </w:tc>
      </w:tr>
      <w:tr w:rsidR="003E0F56" w:rsidRPr="003E0F56" w:rsidTr="003E0F56">
        <w:trPr>
          <w:tblCellSpacing w:w="15" w:type="dxa"/>
        </w:trPr>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5"/>
            </w:tblGrid>
            <w:tr w:rsidR="003E0F56" w:rsidRPr="003E0F56">
              <w:trPr>
                <w:tblCellSpacing w:w="15" w:type="dxa"/>
              </w:trPr>
              <w:tc>
                <w:tcPr>
                  <w:tcW w:w="0" w:type="auto"/>
                  <w:vAlign w:val="center"/>
                  <w:hideMark/>
                </w:tcPr>
                <w:p w:rsidR="003E0F56" w:rsidRPr="003E0F56" w:rsidRDefault="003E0F56" w:rsidP="003E0F56">
                  <w:pPr>
                    <w:spacing w:after="0" w:line="272" w:lineRule="atLeast"/>
                    <w:rPr>
                      <w:rFonts w:ascii="Arial" w:eastAsia="Times New Roman" w:hAnsi="Arial" w:cs="Arial"/>
                      <w:sz w:val="19"/>
                      <w:szCs w:val="19"/>
                      <w:lang w:eastAsia="en-GB"/>
                    </w:rPr>
                  </w:pPr>
                  <w:r w:rsidRPr="003E0F56">
                    <w:rPr>
                      <w:rFonts w:ascii="Arial" w:eastAsia="Times New Roman" w:hAnsi="Arial" w:cs="Arial"/>
                      <w:sz w:val="19"/>
                      <w:szCs w:val="19"/>
                      <w:lang w:eastAsia="en-GB"/>
                    </w:rPr>
                    <w:t>25 </w:t>
                  </w:r>
                </w:p>
              </w:tc>
            </w:tr>
          </w:tbl>
          <w:p w:rsidR="003E0F56" w:rsidRPr="003E0F56" w:rsidRDefault="003E0F56" w:rsidP="003E0F56">
            <w:pPr>
              <w:spacing w:after="0" w:line="302" w:lineRule="atLeast"/>
              <w:rPr>
                <w:rFonts w:ascii="Arial" w:eastAsia="Times New Roman" w:hAnsi="Arial" w:cs="Arial"/>
                <w:lang w:eastAsia="en-GB"/>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11"/>
            </w:tblGrid>
            <w:tr w:rsidR="003E0F56" w:rsidRPr="003E0F56">
              <w:trPr>
                <w:tblCellSpacing w:w="15" w:type="dxa"/>
              </w:trPr>
              <w:tc>
                <w:tcPr>
                  <w:tcW w:w="0" w:type="auto"/>
                  <w:vAlign w:val="center"/>
                  <w:hideMark/>
                </w:tcPr>
                <w:p w:rsidR="003E0F56" w:rsidRPr="003E0F56" w:rsidRDefault="003E0F56" w:rsidP="003E0F56">
                  <w:pPr>
                    <w:spacing w:after="0" w:line="272" w:lineRule="atLeast"/>
                    <w:rPr>
                      <w:rFonts w:ascii="Arial" w:eastAsia="Times New Roman" w:hAnsi="Arial" w:cs="Arial"/>
                      <w:sz w:val="19"/>
                      <w:szCs w:val="19"/>
                      <w:lang w:eastAsia="en-GB"/>
                    </w:rPr>
                  </w:pPr>
                  <w:r w:rsidRPr="003E0F56">
                    <w:rPr>
                      <w:rFonts w:ascii="Arial" w:eastAsia="Times New Roman" w:hAnsi="Arial" w:cs="Arial"/>
                      <w:sz w:val="19"/>
                      <w:szCs w:val="19"/>
                      <w:lang w:eastAsia="en-GB"/>
                    </w:rPr>
                    <w:t xml:space="preserve">Die Frage ist nach Auffassung des Senats nicht schon deshalb irrelevant, weil der Kläger unstreitig in Italien (noch) nicht als international Schutzberechtigter anerkannt worden ist. Das Gemeinsame Europäische Asylsystem beschränkt sich nämlich nach Auffassung des Senats nicht nur darauf, die Phase der Aufnahme der Flüchtlinge und des Verfahrens auf Zuerkennung eines internationalen Schutzstatus zweckentsprechend in einer Art und Weise zu regeln, die geeignet ist, einen effektiven und menschenwürdegemäßen Flüchtlingsschutz zu gewährleisten (vgl. etwa den 2., 8., 9., 10. und 11. Erwägungsgrund der Richtlinie 2013/33/EU vom 26.06.2013 bzw. den 2., 11., 15. und 25. Erwägungsrund der Richtlinie 2013/32/EU vom 26.06.2013). Vielmehr hat es auch diejenigen Personen in den Blick zu nehmen, die nach Durchlaufen des Verfahrens von dem zuständigen Mitgliedstaat einen internationalen Schutzstatus zuerkannt bekommen haben (vgl. Art. 20 ff. der Richtlinie 2011/95/EU vom 13.12.2011). Ein effektives und menschenwürdiges Gemeinsames Europäisches Asylsystem steht und fällt auch mit den verheißenen und sodann realisierten Schutzstandards für die anerkannten Menschen. Aus der bisherigen Rechtsprechung des Gerichtshofs der Europäischen Union (vgl. Urteil vom 21.12.2011 – C-411/10 u.a.; vom 14.11.2013 – C-14/11; vom 10.12.2013 – C-394/12) ergeben sich keine genügenden Anhaltspunkte dafür, dass insoweit keine umfassende Bewertung gerade auch unionsrechtlich geboten sein könnte, mit anderen Worten, dass das Gemeinsame Europäische Asylsystem die Augen davor verschließen dürfte, in welcher Situation sich im Anschluss an die Aufnahme zum Zwecke der Verfahrensdurchführung die Schutzberechtigten befinden werden, wenn man den Schutzsuchenden nach dem Mechanismus des Dublin-Systems eine freie Wahl des Zufluchtlandes verwehrt und ihnen grundsätzlich nur einen Verfahrensweg in dem zuständigen Mitgliedstaat eröffnet. Denn notwendige und zwingende Kehrseite dieses Mechanismus muss sein, dass dann auch diese Betroffenen ein menschenwürdiges Leben in dem zuerkennenden Mitgliedstaat führen können. Dieser erweiterte </w:t>
                  </w:r>
                  <w:r w:rsidRPr="003E0F56">
                    <w:rPr>
                      <w:rFonts w:ascii="Arial" w:eastAsia="Times New Roman" w:hAnsi="Arial" w:cs="Arial"/>
                      <w:sz w:val="19"/>
                      <w:szCs w:val="19"/>
                      <w:lang w:eastAsia="en-GB"/>
                    </w:rPr>
                    <w:lastRenderedPageBreak/>
                    <w:t>Blickwinkel ist der systemimmanenten Logik dieses Mechanismus geschuldet. Daraus folgt dann auch, dass die Prüfung, ob in einem Mitgliedstaat sog. systemische Schwachstellen (vgl. Art. 3 Abs. 2 Satz 2 VO (EU) Nr. 604/2013) bestehen, sich nicht auf die Beantwortung der Frage beschränken darf, ob die Aufnahmebedingungen während des Verfahren und das Verfahren selbst frei von solchen Mängel sind, sondern auch die Lage danach einbeziehen muss. Dieses hat dann aber notwendigerweise zur Konsequenz, dass systemische, nicht menschenwürdegemäße Mängel auch nur in einer Phase insgesamt dazu führen, dass die Betroffenen nicht auf das Verfahren in dem an sich zuständigen Mitgliedstaat verwiesen werden können, wenn die Betroffenen andernfalls das reale Risiko eingingen, eine Schlechtbehandlung im Sinne des Art.4 GRCh zu erfahren. Mit anderen Worten: Die besten Aufnahmebedingungen während des Anerkennungsverfahrens wären unzureichend, wenn den Betroffenen anschließend nach einer Anerkennung Verelendung droht, und umgekehrt. Ungeachtet dessen gebietet es ohnehin jedenfalls Art. 3 EMRK, vor einer Überstellung außerhalb des Dublinmechanismus (auf welcher Rechtsgrundlage auch immer), aus gegebenem Anlass eine Prüfung vorzunehmen. Allerdings ist dem Senat bewusst, dass die Qualifikationsrichtlinie, was die Existenzbedingungen der Schutzberechtigten betrifft, in der Regel nur Inländerbehandlung verspricht (vgl. auch VGH Bad.-Württ., Urteil vom 10.11.2014 – A 11 S 1778/14 –, InfAuslR 2015, 77) und unionsrechtlich nach dem Gemeinsamen Europäischen Asylsystem keine bestimmten (Mindest-)Standards vorgegeben werden (vgl. allerdings auch Art. 32 QRL, der nur Gleichbehandlung mit anderen Drittstaatszugehörigen verlangt). Inländerbehandlung kann allerdings unzureichend sein, selbst wenn die Standards für die Inländer noch menschenwürdegemäß sein sollten. Denn die Union muss bei alledem in den Blick nehmen, dass es sich hier typischerweise um verletzliche und entwurzelte Menschen, jedenfalls um Menschen mit vielerlei Handicaps handelt, die nicht ohne weiteres oder auch gar nicht in der Lage sein werden, allein gestellt die Rechtspositionen, die die Rechtsordnung des Aufnahmestaats an sich formal gewährleistet auch effektiv geltend zu machen. Sie müssen daher erst in die gleiche oder eine vergleichbare faktische Position einrücken, aus der heraus die einheimische Bevölkerung ihre Rechte in Anspruch nimmt und nehmen kann. Erst mit diesem realen sozialen Hintergrund erfährt Inländerbehandlung ihre innere Rechtfertigung und Tragfähigkeit. Deshalb fordert Art. 34 QRL aus gutem Grund von den Mitgliedstaaten, den effektiven Zugang zu Integrationsprogrammen zu gewährleisten, denen eine spezifisch kompensatorische Funktion zukommt, und dieses bedingungs- und einschränkungslos. Der Europäische Gerichtshof für Menschenrechte berücksichtigte in seiner Rechtsprechung (Entscheidung vom 21.01.2011 – Nr. 30696/09 &lt;M.S.S&gt;) im Kontext des Art. 3 EMRK ausdrücklich den Umstand, dass der hier zu betrachtende und zu würdigende Personenkreis in besonderem Maße verletzlich und/oder hilfsbedürftig ist und entwickelt die mit Blick auf Art. 3 EMRK einzuhaltenden (höheren) Standards – in Abweichung von der für die Beurteilung der in Abschiebezielstaaten allgemein herrschenden humanitären Zuständen herausgebildeten eigenen Spruchpraxis (vgl. nunmehr aber auch EGMR, Urteil vom 13.12.2016 – 41738/16 &lt;Paposhvili&gt;) spezifisch auch unter diesem Gesichtspunkt sowie den Verheißungen des Gemeinsamen Europäischen Asylsystems. Konkret bedeutet dies dann auch, dass dieses Gemeinsame Europäische Asylsystem zumindest ein entsprechend dimensioniertes und den Defiziten des hier zu betrachtenden Personenkreises gerecht werdendes Integrationsprogramm gewährleisten muss, soweit dieses erforderlich ist, um jedenfalls die Inländerbehandlung faktisch und nicht nur formal rechtlich zu gewährleisten und sicherzustellen, was dann von Mitgliedstaat zu Mitgliedstaat unterschiedliche Anforderungen bedingen kann. Dieser Standard stellt im Kontext des Unionsrechts ein flüchtlings- und menschenrechtliches Minimum dar. Er ist letztlich die Rechtfertigung und der Geltungsgrund des Gemeinsamen Europäischen Asylsystems, namentlich des dieses entscheidend prägenden Dublinsystems, der es den Flüchtlingen grundsätzlich verwehrt, einen effektiven Flüchtlingsschutz auch in einem anderen Mitgliedstaat zu suchen und zu finden. Dieses flüchtlings- und menschenrechtliche Minimum ist gewissermaßen die Kehrseite des Dublinsystems.</w:t>
                  </w:r>
                </w:p>
              </w:tc>
            </w:tr>
          </w:tbl>
          <w:p w:rsidR="003E0F56" w:rsidRPr="003E0F56" w:rsidRDefault="003E0F56" w:rsidP="003E0F56">
            <w:pPr>
              <w:spacing w:after="0" w:line="302" w:lineRule="atLeast"/>
              <w:rPr>
                <w:rFonts w:ascii="Arial" w:eastAsia="Times New Roman" w:hAnsi="Arial" w:cs="Arial"/>
                <w:lang w:eastAsia="en-GB"/>
              </w:rPr>
            </w:pPr>
          </w:p>
        </w:tc>
      </w:tr>
      <w:tr w:rsidR="003E0F56" w:rsidRPr="003E0F56" w:rsidTr="003E0F56">
        <w:trPr>
          <w:tblCellSpacing w:w="15" w:type="dxa"/>
        </w:trPr>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5"/>
            </w:tblGrid>
            <w:tr w:rsidR="003E0F56" w:rsidRPr="003E0F56">
              <w:trPr>
                <w:tblCellSpacing w:w="15" w:type="dxa"/>
              </w:trPr>
              <w:tc>
                <w:tcPr>
                  <w:tcW w:w="0" w:type="auto"/>
                  <w:vAlign w:val="center"/>
                  <w:hideMark/>
                </w:tcPr>
                <w:p w:rsidR="003E0F56" w:rsidRPr="003E0F56" w:rsidRDefault="003E0F56" w:rsidP="003E0F56">
                  <w:pPr>
                    <w:spacing w:after="0" w:line="272" w:lineRule="atLeast"/>
                    <w:rPr>
                      <w:rFonts w:ascii="Arial" w:eastAsia="Times New Roman" w:hAnsi="Arial" w:cs="Arial"/>
                      <w:sz w:val="19"/>
                      <w:szCs w:val="19"/>
                      <w:lang w:eastAsia="en-GB"/>
                    </w:rPr>
                  </w:pPr>
                  <w:r w:rsidRPr="003E0F56">
                    <w:rPr>
                      <w:rFonts w:ascii="Arial" w:eastAsia="Times New Roman" w:hAnsi="Arial" w:cs="Arial"/>
                      <w:sz w:val="19"/>
                      <w:szCs w:val="19"/>
                      <w:lang w:eastAsia="en-GB"/>
                    </w:rPr>
                    <w:lastRenderedPageBreak/>
                    <w:t>26 </w:t>
                  </w:r>
                </w:p>
              </w:tc>
            </w:tr>
          </w:tbl>
          <w:p w:rsidR="003E0F56" w:rsidRPr="003E0F56" w:rsidRDefault="003E0F56" w:rsidP="003E0F56">
            <w:pPr>
              <w:spacing w:after="0" w:line="302" w:lineRule="atLeast"/>
              <w:rPr>
                <w:rFonts w:ascii="Arial" w:eastAsia="Times New Roman" w:hAnsi="Arial" w:cs="Arial"/>
                <w:lang w:eastAsia="en-GB"/>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11"/>
            </w:tblGrid>
            <w:tr w:rsidR="003E0F56" w:rsidRPr="003E0F56">
              <w:trPr>
                <w:tblCellSpacing w:w="15" w:type="dxa"/>
              </w:trPr>
              <w:tc>
                <w:tcPr>
                  <w:tcW w:w="0" w:type="auto"/>
                  <w:vAlign w:val="center"/>
                  <w:hideMark/>
                </w:tcPr>
                <w:p w:rsidR="003E0F56" w:rsidRPr="003E0F56" w:rsidRDefault="003E0F56" w:rsidP="003E0F56">
                  <w:pPr>
                    <w:spacing w:after="0" w:line="272" w:lineRule="atLeast"/>
                    <w:rPr>
                      <w:rFonts w:ascii="Arial" w:eastAsia="Times New Roman" w:hAnsi="Arial" w:cs="Arial"/>
                      <w:sz w:val="19"/>
                      <w:szCs w:val="19"/>
                      <w:lang w:eastAsia="en-GB"/>
                    </w:rPr>
                  </w:pPr>
                  <w:r w:rsidRPr="003E0F56">
                    <w:rPr>
                      <w:rFonts w:ascii="Arial" w:eastAsia="Times New Roman" w:hAnsi="Arial" w:cs="Arial"/>
                      <w:sz w:val="19"/>
                      <w:szCs w:val="19"/>
                      <w:lang w:eastAsia="en-GB"/>
                    </w:rPr>
                    <w:t xml:space="preserve">Auf die vom Senat aufgeworfene Problematik kommt es im vorliegenden Verfahren auch an. Denn </w:t>
                  </w:r>
                  <w:r w:rsidRPr="003E0F56">
                    <w:rPr>
                      <w:rFonts w:ascii="Arial" w:eastAsia="Times New Roman" w:hAnsi="Arial" w:cs="Arial"/>
                      <w:sz w:val="19"/>
                      <w:szCs w:val="19"/>
                      <w:lang w:eastAsia="en-GB"/>
                    </w:rPr>
                    <w:lastRenderedPageBreak/>
                    <w:t>dem Senat liegt u.a. der ausführliche Recherchebericht der Schweizerischen Flüchtlingshilfe "Aufnahmebedingungen in Italien" vom August 2016 (vgl. dort S. 33 ff.) vor, aus dem sich konkrete Anhaltspunkte dafür ergeben, dass international Schutzberechtigte einem konkreten Risiko ausgesetzt sein könnten, bei einem Leben völlig am Rande der Gesellschaft obdachlos zu werden und zu verelenden. Dieser Bericht gibt, sofern die hier aufgeworfene Frage zu bejahen ist, Anlass diesen Anhaltspunkten weiter nachzugehen und eine abschließende Klärung herbeizuführen. Die Schweizerische Flüchtlingshilfe betont mehrfach, dass das völlig unzureichend entwickelte Sozialsystem in weiten Teilen durch den Rückhalt in familiären Strukturen zu erklären ist, bzw. anders gewendet nur wegen dieses Rückhalt unter der italienischen Bevölkerung Not nicht ein generelles Phänomen darstellt. Diese Strukturen fehlen aber bei den Schutzberechtigten völlig. Dass hier die kompensatorisch greifenden Integrationsprogramme in Italien gegenwärtig weitgehend fehlen und namentlich der Zugang zu den unerlässlichen Sprachkursen mehr oder weniger dem Zufall überlassen ist, beschreibt die Schweizerische Flüchtlingshilfe (S. 53 f.) eindrücklich. Zwar soll ein Integrationsplan verabschiedet werden, er existiert allerdings noch nicht, geschweige denn, dass er umgesetzt würde; aktuell wird weiter hiervon geredet, mehr aber nicht (vgl. etwa Tagesspiegel v. 01.01.2017). Wenn überhaupt, werden einige wenige Projekte nur von Nichtregierungsorganisationen organisiert. Bei dieser Ausgangslage wäre es in Ermangelung eines ausgebauten vielfältigen sozialen Sicherungssystems unrealistisch, die Schutzberechtigten auf einen Rechtsweg zu verweisen, weil schon wegen teilweiser fehlender Ansprüche der Aspekt der Inländerbehandlung ins Abseits führen muss. Abgesehen davon dürfte die Effektivität ernsthaft infrage stehen. Dass die großen strukturellen Defizite des staatlichen Sozialsystems im weitesten Sinne angesichts der in den vergangenen Jahren stark angestiegenen Flüchtlingszahlen in Italien effektiv durch Nichtregierungsorganisationen und Kirchen ausgeglichen werden können, lässt der Bericht der Schweizerischen Flüchtlingshilfe nicht erkennen; wäre dieses der Fall, könnten die von ihr beschriebenen Verhältnisse so nicht eingetreten sein. Jedenfalls wäre dieser Frage gegebenenfalls noch weiter nachzugehen (vgl. zur Funktion und Tätigkeit von Nichtregierungsorganisationen und Kirchen in Italien vor Jahren bei wesentlich geringeren Flüchtlingszahlen VGH Bad-Württ., Urteil vom 16.04.2014 – A 11 S 1721/13).</w:t>
                  </w:r>
                </w:p>
              </w:tc>
            </w:tr>
          </w:tbl>
          <w:p w:rsidR="003E0F56" w:rsidRPr="003E0F56" w:rsidRDefault="003E0F56" w:rsidP="003E0F56">
            <w:pPr>
              <w:spacing w:after="0" w:line="302" w:lineRule="atLeast"/>
              <w:rPr>
                <w:rFonts w:ascii="Arial" w:eastAsia="Times New Roman" w:hAnsi="Arial" w:cs="Arial"/>
                <w:lang w:eastAsia="en-GB"/>
              </w:rPr>
            </w:pPr>
          </w:p>
        </w:tc>
      </w:tr>
      <w:tr w:rsidR="003E0F56" w:rsidRPr="003E0F56" w:rsidTr="003E0F56">
        <w:trPr>
          <w:tblCellSpacing w:w="15" w:type="dxa"/>
        </w:trPr>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5"/>
            </w:tblGrid>
            <w:tr w:rsidR="003E0F56" w:rsidRPr="003E0F56">
              <w:trPr>
                <w:tblCellSpacing w:w="15" w:type="dxa"/>
              </w:trPr>
              <w:tc>
                <w:tcPr>
                  <w:tcW w:w="0" w:type="auto"/>
                  <w:vAlign w:val="center"/>
                  <w:hideMark/>
                </w:tcPr>
                <w:p w:rsidR="003E0F56" w:rsidRPr="003E0F56" w:rsidRDefault="003E0F56" w:rsidP="003E0F56">
                  <w:pPr>
                    <w:spacing w:after="0" w:line="272" w:lineRule="atLeast"/>
                    <w:rPr>
                      <w:rFonts w:ascii="Arial" w:eastAsia="Times New Roman" w:hAnsi="Arial" w:cs="Arial"/>
                      <w:sz w:val="19"/>
                      <w:szCs w:val="19"/>
                      <w:lang w:eastAsia="en-GB"/>
                    </w:rPr>
                  </w:pPr>
                  <w:r w:rsidRPr="003E0F56">
                    <w:rPr>
                      <w:rFonts w:ascii="Arial" w:eastAsia="Times New Roman" w:hAnsi="Arial" w:cs="Arial"/>
                      <w:sz w:val="19"/>
                      <w:szCs w:val="19"/>
                      <w:lang w:eastAsia="en-GB"/>
                    </w:rPr>
                    <w:lastRenderedPageBreak/>
                    <w:t>27 </w:t>
                  </w:r>
                </w:p>
              </w:tc>
            </w:tr>
          </w:tbl>
          <w:p w:rsidR="003E0F56" w:rsidRPr="003E0F56" w:rsidRDefault="003E0F56" w:rsidP="003E0F56">
            <w:pPr>
              <w:spacing w:after="0" w:line="302" w:lineRule="atLeast"/>
              <w:rPr>
                <w:rFonts w:ascii="Arial" w:eastAsia="Times New Roman" w:hAnsi="Arial" w:cs="Arial"/>
                <w:lang w:eastAsia="en-GB"/>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11"/>
            </w:tblGrid>
            <w:tr w:rsidR="003E0F56" w:rsidRPr="003E0F56">
              <w:trPr>
                <w:tblCellSpacing w:w="15" w:type="dxa"/>
              </w:trPr>
              <w:tc>
                <w:tcPr>
                  <w:tcW w:w="0" w:type="auto"/>
                  <w:vAlign w:val="center"/>
                  <w:hideMark/>
                </w:tcPr>
                <w:p w:rsidR="003E0F56" w:rsidRPr="003E0F56" w:rsidRDefault="003E0F56" w:rsidP="003E0F56">
                  <w:pPr>
                    <w:spacing w:after="0" w:line="272" w:lineRule="atLeast"/>
                    <w:rPr>
                      <w:rFonts w:ascii="Arial" w:eastAsia="Times New Roman" w:hAnsi="Arial" w:cs="Arial"/>
                      <w:sz w:val="19"/>
                      <w:szCs w:val="19"/>
                      <w:lang w:eastAsia="en-GB"/>
                    </w:rPr>
                  </w:pPr>
                  <w:r w:rsidRPr="003E0F56">
                    <w:rPr>
                      <w:rFonts w:ascii="Arial" w:eastAsia="Times New Roman" w:hAnsi="Arial" w:cs="Arial"/>
                      <w:sz w:val="19"/>
                      <w:szCs w:val="19"/>
                      <w:lang w:eastAsia="en-GB"/>
                    </w:rPr>
                    <w:t>Namentlich für diese ggf. noch anzustellenden Ermittlungen ist es im Übrigen für den Senat von erheblicher Bedeutung, dass geklärt wird, welche unionsrechtlichen und menschenrechtlichen Standards für die Beurteilung der Verhältnisse in dem jeweiligen Mitgliedstaat gelten und anzuwenden sind.</w:t>
                  </w:r>
                </w:p>
              </w:tc>
            </w:tr>
          </w:tbl>
          <w:p w:rsidR="003E0F56" w:rsidRPr="003E0F56" w:rsidRDefault="003E0F56" w:rsidP="003E0F56">
            <w:pPr>
              <w:spacing w:after="0" w:line="302" w:lineRule="atLeast"/>
              <w:rPr>
                <w:rFonts w:ascii="Arial" w:eastAsia="Times New Roman" w:hAnsi="Arial" w:cs="Arial"/>
                <w:lang w:eastAsia="en-GB"/>
              </w:rPr>
            </w:pPr>
          </w:p>
        </w:tc>
      </w:tr>
      <w:tr w:rsidR="003E0F56" w:rsidRPr="003E0F56" w:rsidTr="003E0F56">
        <w:trPr>
          <w:tblCellSpacing w:w="15" w:type="dxa"/>
        </w:trPr>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5"/>
            </w:tblGrid>
            <w:tr w:rsidR="003E0F56" w:rsidRPr="003E0F56">
              <w:trPr>
                <w:tblCellSpacing w:w="15" w:type="dxa"/>
              </w:trPr>
              <w:tc>
                <w:tcPr>
                  <w:tcW w:w="0" w:type="auto"/>
                  <w:vAlign w:val="center"/>
                  <w:hideMark/>
                </w:tcPr>
                <w:p w:rsidR="003E0F56" w:rsidRPr="003E0F56" w:rsidRDefault="003E0F56" w:rsidP="003E0F56">
                  <w:pPr>
                    <w:spacing w:after="0" w:line="272" w:lineRule="atLeast"/>
                    <w:rPr>
                      <w:rFonts w:ascii="Arial" w:eastAsia="Times New Roman" w:hAnsi="Arial" w:cs="Arial"/>
                      <w:sz w:val="19"/>
                      <w:szCs w:val="19"/>
                      <w:lang w:eastAsia="en-GB"/>
                    </w:rPr>
                  </w:pPr>
                  <w:r w:rsidRPr="003E0F56">
                    <w:rPr>
                      <w:rFonts w:ascii="Arial" w:eastAsia="Times New Roman" w:hAnsi="Arial" w:cs="Arial"/>
                      <w:sz w:val="19"/>
                      <w:szCs w:val="19"/>
                      <w:lang w:eastAsia="en-GB"/>
                    </w:rPr>
                    <w:t>28 </w:t>
                  </w:r>
                </w:p>
              </w:tc>
            </w:tr>
          </w:tbl>
          <w:p w:rsidR="003E0F56" w:rsidRPr="003E0F56" w:rsidRDefault="003E0F56" w:rsidP="003E0F56">
            <w:pPr>
              <w:spacing w:after="0" w:line="302" w:lineRule="atLeast"/>
              <w:rPr>
                <w:rFonts w:ascii="Arial" w:eastAsia="Times New Roman" w:hAnsi="Arial" w:cs="Arial"/>
                <w:lang w:eastAsia="en-GB"/>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11"/>
            </w:tblGrid>
            <w:tr w:rsidR="003E0F56" w:rsidRPr="003E0F56">
              <w:trPr>
                <w:tblCellSpacing w:w="15" w:type="dxa"/>
              </w:trPr>
              <w:tc>
                <w:tcPr>
                  <w:tcW w:w="0" w:type="auto"/>
                  <w:vAlign w:val="center"/>
                  <w:hideMark/>
                </w:tcPr>
                <w:p w:rsidR="003E0F56" w:rsidRPr="003E0F56" w:rsidRDefault="003E0F56" w:rsidP="003E0F56">
                  <w:pPr>
                    <w:spacing w:after="0" w:line="272" w:lineRule="atLeast"/>
                    <w:rPr>
                      <w:rFonts w:ascii="Arial" w:eastAsia="Times New Roman" w:hAnsi="Arial" w:cs="Arial"/>
                      <w:sz w:val="19"/>
                      <w:szCs w:val="19"/>
                      <w:lang w:eastAsia="en-GB"/>
                    </w:rPr>
                  </w:pPr>
                  <w:r w:rsidRPr="003E0F56">
                    <w:rPr>
                      <w:rFonts w:ascii="Arial" w:eastAsia="Times New Roman" w:hAnsi="Arial" w:cs="Arial"/>
                      <w:sz w:val="19"/>
                      <w:szCs w:val="19"/>
                      <w:lang w:eastAsia="en-GB"/>
                    </w:rPr>
                    <w:t>Der Senat erachtet es für geboten, über das Ersuchen im Eilvorabentscheidungsverfahren zu entscheiden (Art. 107 VerfO i.V.m. Art. 23a der Satzung des Gerichthofs), da die dritte Vorlagefrage von weitreichender Bedeutung ist. Sie hat Relevanz für alle Italien betreffenden Überstellungsverfahren im gesamten Dublinsystem; sie ist daher vorgreiflich in einer unübersehbaren Zahl von Verfahren. Die Ungewissheit über ihren Ausgang birgt die Gefahr, das Funktionieren des durch die Verordnung 604/2013 eingeführten Systems zu beeinträchtigen und das Gemeinsame Europäischen Asylsystem zu schwächen (vgl. EuGH, Beschluss vom 15.02.2017 - C-670/16 &lt;Mengesteab&gt;-, ECLI:EU:C:2017:120).</w:t>
                  </w:r>
                </w:p>
              </w:tc>
            </w:tr>
          </w:tbl>
          <w:p w:rsidR="003E0F56" w:rsidRPr="003E0F56" w:rsidRDefault="003E0F56" w:rsidP="003E0F56">
            <w:pPr>
              <w:spacing w:after="0" w:line="302" w:lineRule="atLeast"/>
              <w:rPr>
                <w:rFonts w:ascii="Arial" w:eastAsia="Times New Roman" w:hAnsi="Arial" w:cs="Arial"/>
                <w:vanish/>
                <w:lang w:eastAsia="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16"/>
            </w:tblGrid>
            <w:tr w:rsidR="003E0F56" w:rsidRPr="003E0F56">
              <w:trPr>
                <w:tblCellSpacing w:w="15" w:type="dxa"/>
              </w:trPr>
              <w:tc>
                <w:tcPr>
                  <w:tcW w:w="0" w:type="auto"/>
                  <w:vAlign w:val="center"/>
                  <w:hideMark/>
                </w:tcPr>
                <w:p w:rsidR="003E0F56" w:rsidRPr="003E0F56" w:rsidRDefault="003E0F56" w:rsidP="003E0F56">
                  <w:pPr>
                    <w:spacing w:after="0" w:line="272" w:lineRule="atLeast"/>
                    <w:rPr>
                      <w:rFonts w:ascii="Arial" w:eastAsia="Times New Roman" w:hAnsi="Arial" w:cs="Arial"/>
                      <w:sz w:val="19"/>
                      <w:szCs w:val="19"/>
                      <w:lang w:eastAsia="en-GB"/>
                    </w:rPr>
                  </w:pPr>
                  <w:r w:rsidRPr="003E0F56">
                    <w:rPr>
                      <w:rFonts w:ascii="Arial" w:eastAsia="Times New Roman" w:hAnsi="Arial" w:cs="Arial"/>
                      <w:sz w:val="19"/>
                      <w:szCs w:val="19"/>
                      <w:lang w:eastAsia="en-GB"/>
                    </w:rPr>
                    <w:t>Dieser Beschluss ist unanfechtbar.</w:t>
                  </w:r>
                </w:p>
              </w:tc>
            </w:tr>
          </w:tbl>
          <w:p w:rsidR="003E0F56" w:rsidRPr="003E0F56" w:rsidRDefault="003E0F56" w:rsidP="003E0F56">
            <w:pPr>
              <w:spacing w:after="0" w:line="302" w:lineRule="atLeast"/>
              <w:rPr>
                <w:rFonts w:ascii="Arial" w:eastAsia="Times New Roman" w:hAnsi="Arial" w:cs="Arial"/>
                <w:vanish/>
                <w:lang w:eastAsia="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E0F56" w:rsidRPr="003E0F56">
              <w:trPr>
                <w:tblCellSpacing w:w="15" w:type="dxa"/>
              </w:trPr>
              <w:tc>
                <w:tcPr>
                  <w:tcW w:w="0" w:type="auto"/>
                  <w:vAlign w:val="center"/>
                  <w:hideMark/>
                </w:tcPr>
                <w:p w:rsidR="003E0F56" w:rsidRPr="003E0F56" w:rsidRDefault="003E0F56" w:rsidP="003E0F56">
                  <w:pPr>
                    <w:spacing w:after="0" w:line="272" w:lineRule="atLeast"/>
                    <w:rPr>
                      <w:rFonts w:ascii="Arial" w:eastAsia="Times New Roman" w:hAnsi="Arial" w:cs="Arial"/>
                      <w:sz w:val="19"/>
                      <w:szCs w:val="19"/>
                      <w:lang w:eastAsia="en-GB"/>
                    </w:rPr>
                  </w:pPr>
                </w:p>
              </w:tc>
            </w:tr>
          </w:tbl>
          <w:p w:rsidR="003E0F56" w:rsidRPr="003E0F56" w:rsidRDefault="003E0F56" w:rsidP="003E0F56">
            <w:pPr>
              <w:spacing w:after="0" w:line="302" w:lineRule="atLeast"/>
              <w:rPr>
                <w:rFonts w:ascii="Arial" w:eastAsia="Times New Roman" w:hAnsi="Arial" w:cs="Arial"/>
                <w:lang w:eastAsia="en-GB"/>
              </w:rPr>
            </w:pPr>
          </w:p>
        </w:tc>
      </w:tr>
    </w:tbl>
    <w:p w:rsidR="006037E2" w:rsidRDefault="006037E2"/>
    <w:sectPr w:rsidR="006037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F56"/>
    <w:rsid w:val="003E0F56"/>
    <w:rsid w:val="006037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E0F5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F56"/>
    <w:rPr>
      <w:rFonts w:ascii="Times New Roman" w:eastAsia="Times New Roman" w:hAnsi="Times New Roman" w:cs="Times New Roman"/>
      <w:b/>
      <w:bCs/>
      <w:kern w:val="36"/>
      <w:sz w:val="48"/>
      <w:szCs w:val="48"/>
      <w:lang w:eastAsia="en-GB"/>
    </w:rPr>
  </w:style>
  <w:style w:type="paragraph" w:customStyle="1" w:styleId="kurztext-land">
    <w:name w:val="kurztext-land"/>
    <w:basedOn w:val="Normal"/>
    <w:rsid w:val="003E0F5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3E0F5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enor">
    <w:name w:val="tenor"/>
    <w:basedOn w:val="Normal"/>
    <w:rsid w:val="003E0F5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ruende">
    <w:name w:val="gruende"/>
    <w:basedOn w:val="Normal"/>
    <w:rsid w:val="003E0F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E0F56"/>
    <w:rPr>
      <w:b/>
      <w:bCs/>
    </w:rPr>
  </w:style>
  <w:style w:type="character" w:customStyle="1" w:styleId="apple-converted-space">
    <w:name w:val="apple-converted-space"/>
    <w:basedOn w:val="DefaultParagraphFont"/>
    <w:rsid w:val="003E0F56"/>
  </w:style>
  <w:style w:type="character" w:customStyle="1" w:styleId="highlight0">
    <w:name w:val="highlight0"/>
    <w:basedOn w:val="DefaultParagraphFont"/>
    <w:rsid w:val="003E0F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E0F5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F56"/>
    <w:rPr>
      <w:rFonts w:ascii="Times New Roman" w:eastAsia="Times New Roman" w:hAnsi="Times New Roman" w:cs="Times New Roman"/>
      <w:b/>
      <w:bCs/>
      <w:kern w:val="36"/>
      <w:sz w:val="48"/>
      <w:szCs w:val="48"/>
      <w:lang w:eastAsia="en-GB"/>
    </w:rPr>
  </w:style>
  <w:style w:type="paragraph" w:customStyle="1" w:styleId="kurztext-land">
    <w:name w:val="kurztext-land"/>
    <w:basedOn w:val="Normal"/>
    <w:rsid w:val="003E0F5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3E0F5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enor">
    <w:name w:val="tenor"/>
    <w:basedOn w:val="Normal"/>
    <w:rsid w:val="003E0F5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ruende">
    <w:name w:val="gruende"/>
    <w:basedOn w:val="Normal"/>
    <w:rsid w:val="003E0F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E0F56"/>
    <w:rPr>
      <w:b/>
      <w:bCs/>
    </w:rPr>
  </w:style>
  <w:style w:type="character" w:customStyle="1" w:styleId="apple-converted-space">
    <w:name w:val="apple-converted-space"/>
    <w:basedOn w:val="DefaultParagraphFont"/>
    <w:rsid w:val="003E0F56"/>
  </w:style>
  <w:style w:type="character" w:customStyle="1" w:styleId="highlight0">
    <w:name w:val="highlight0"/>
    <w:basedOn w:val="DefaultParagraphFont"/>
    <w:rsid w:val="003E0F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044913">
      <w:bodyDiv w:val="1"/>
      <w:marLeft w:val="0"/>
      <w:marRight w:val="0"/>
      <w:marTop w:val="0"/>
      <w:marBottom w:val="0"/>
      <w:divBdr>
        <w:top w:val="none" w:sz="0" w:space="0" w:color="auto"/>
        <w:left w:val="none" w:sz="0" w:space="0" w:color="auto"/>
        <w:bottom w:val="none" w:sz="0" w:space="0" w:color="auto"/>
        <w:right w:val="none" w:sz="0" w:space="0" w:color="auto"/>
      </w:divBdr>
      <w:divsChild>
        <w:div w:id="1393117059">
          <w:marLeft w:val="0"/>
          <w:marRight w:val="0"/>
          <w:marTop w:val="0"/>
          <w:marBottom w:val="0"/>
          <w:divBdr>
            <w:top w:val="none" w:sz="0" w:space="0" w:color="auto"/>
            <w:left w:val="none" w:sz="0" w:space="0" w:color="auto"/>
            <w:bottom w:val="none" w:sz="0" w:space="0" w:color="auto"/>
            <w:right w:val="none" w:sz="0" w:space="0" w:color="auto"/>
          </w:divBdr>
        </w:div>
        <w:div w:id="355156866">
          <w:marLeft w:val="0"/>
          <w:marRight w:val="0"/>
          <w:marTop w:val="0"/>
          <w:marBottom w:val="0"/>
          <w:divBdr>
            <w:top w:val="none" w:sz="0" w:space="0" w:color="auto"/>
            <w:left w:val="none" w:sz="0" w:space="0" w:color="auto"/>
            <w:bottom w:val="none" w:sz="0" w:space="0" w:color="auto"/>
            <w:right w:val="none" w:sz="0" w:space="0" w:color="auto"/>
          </w:divBdr>
        </w:div>
        <w:div w:id="20822940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4720</Words>
  <Characters>26908</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Taylor</dc:creator>
  <cp:lastModifiedBy>Amanda Taylor</cp:lastModifiedBy>
  <cp:revision>1</cp:revision>
  <dcterms:created xsi:type="dcterms:W3CDTF">2017-04-11T10:48:00Z</dcterms:created>
  <dcterms:modified xsi:type="dcterms:W3CDTF">2017-04-11T10:49:00Z</dcterms:modified>
</cp:coreProperties>
</file>