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435"/>
        <w:gridCol w:w="2259"/>
        <w:gridCol w:w="3037"/>
        <w:gridCol w:w="3733"/>
      </w:tblGrid>
      <w:tr w:rsidR="00996C36" w:rsidTr="00277D79">
        <w:tc>
          <w:tcPr>
            <w:tcW w:w="2694" w:type="dxa"/>
            <w:gridSpan w:val="2"/>
            <w:tcBorders>
              <w:top w:val="single" w:sz="12" w:space="0" w:color="000000"/>
              <w:left w:val="single" w:sz="12" w:space="0" w:color="000000"/>
              <w:bottom w:val="single" w:sz="12" w:space="0" w:color="000000"/>
              <w:right w:val="single" w:sz="4" w:space="0" w:color="000000"/>
            </w:tcBorders>
            <w:hideMark/>
          </w:tcPr>
          <w:p w:rsidR="00996C36" w:rsidRDefault="00996C36">
            <w:pPr>
              <w:spacing w:after="0" w:line="240" w:lineRule="auto"/>
              <w:rPr>
                <w:rFonts w:cs="Calibri"/>
                <w:b/>
                <w:bCs/>
              </w:rPr>
            </w:pPr>
            <w:r>
              <w:rPr>
                <w:rFonts w:cs="Calibri"/>
                <w:b/>
                <w:bCs/>
              </w:rPr>
              <w:t>KEY WORDS</w:t>
            </w:r>
          </w:p>
        </w:tc>
        <w:tc>
          <w:tcPr>
            <w:tcW w:w="6770" w:type="dxa"/>
            <w:gridSpan w:val="2"/>
            <w:tcBorders>
              <w:top w:val="single" w:sz="12" w:space="0" w:color="000000"/>
              <w:left w:val="single" w:sz="4" w:space="0" w:color="000000"/>
              <w:bottom w:val="single" w:sz="12" w:space="0" w:color="000000"/>
              <w:right w:val="single" w:sz="12" w:space="0" w:color="000000"/>
            </w:tcBorders>
          </w:tcPr>
          <w:p w:rsidR="00E92225" w:rsidRDefault="00E92225" w:rsidP="00E92225">
            <w:pPr>
              <w:snapToGrid w:val="0"/>
              <w:spacing w:after="0" w:line="100" w:lineRule="atLeast"/>
              <w:rPr>
                <w:rFonts w:cs="Calibri"/>
                <w:b/>
              </w:rPr>
            </w:pPr>
            <w:proofErr w:type="spellStart"/>
            <w:r>
              <w:rPr>
                <w:rFonts w:cs="Calibri"/>
                <w:b/>
              </w:rPr>
              <w:t>Family</w:t>
            </w:r>
            <w:proofErr w:type="spellEnd"/>
            <w:r>
              <w:rPr>
                <w:rFonts w:cs="Calibri"/>
                <w:b/>
              </w:rPr>
              <w:t xml:space="preserve"> </w:t>
            </w:r>
            <w:proofErr w:type="spellStart"/>
            <w:r>
              <w:rPr>
                <w:rFonts w:cs="Calibri"/>
                <w:b/>
              </w:rPr>
              <w:t>unity</w:t>
            </w:r>
            <w:proofErr w:type="spellEnd"/>
            <w:r>
              <w:rPr>
                <w:rFonts w:cs="Calibri"/>
                <w:b/>
              </w:rPr>
              <w:t xml:space="preserve"> / </w:t>
            </w:r>
            <w:proofErr w:type="spellStart"/>
            <w:r>
              <w:rPr>
                <w:rFonts w:cs="Calibri"/>
                <w:b/>
              </w:rPr>
              <w:t>family</w:t>
            </w:r>
            <w:proofErr w:type="spellEnd"/>
            <w:r>
              <w:rPr>
                <w:rFonts w:cs="Calibri"/>
                <w:b/>
              </w:rPr>
              <w:t xml:space="preserve"> </w:t>
            </w:r>
            <w:proofErr w:type="spellStart"/>
            <w:r>
              <w:rPr>
                <w:rFonts w:cs="Calibri"/>
                <w:b/>
              </w:rPr>
              <w:t>definition</w:t>
            </w:r>
            <w:proofErr w:type="spellEnd"/>
          </w:p>
          <w:p w:rsidR="00E92225" w:rsidRDefault="00E92225" w:rsidP="00E92225">
            <w:pPr>
              <w:spacing w:after="0" w:line="100" w:lineRule="atLeast"/>
              <w:rPr>
                <w:rFonts w:cs="Calibri"/>
                <w:b/>
              </w:rPr>
            </w:pPr>
            <w:proofErr w:type="spellStart"/>
            <w:r>
              <w:rPr>
                <w:rFonts w:cs="Calibri"/>
                <w:b/>
              </w:rPr>
              <w:t>Vulnerable</w:t>
            </w:r>
            <w:proofErr w:type="spellEnd"/>
            <w:r>
              <w:rPr>
                <w:rFonts w:cs="Calibri"/>
                <w:b/>
              </w:rPr>
              <w:t xml:space="preserve"> </w:t>
            </w:r>
            <w:proofErr w:type="spellStart"/>
            <w:r>
              <w:rPr>
                <w:rFonts w:cs="Calibri"/>
                <w:b/>
              </w:rPr>
              <w:t>persons</w:t>
            </w:r>
            <w:proofErr w:type="spellEnd"/>
          </w:p>
          <w:p w:rsidR="00996C36" w:rsidRDefault="00E92225" w:rsidP="00E92225">
            <w:pPr>
              <w:spacing w:after="0" w:line="240" w:lineRule="auto"/>
              <w:rPr>
                <w:rFonts w:cs="Calibri"/>
                <w:b/>
              </w:rPr>
            </w:pPr>
            <w:proofErr w:type="spellStart"/>
            <w:r>
              <w:rPr>
                <w:rFonts w:cs="Calibri"/>
                <w:b/>
              </w:rPr>
              <w:t>Unaccompanied</w:t>
            </w:r>
            <w:proofErr w:type="spellEnd"/>
            <w:r>
              <w:rPr>
                <w:rFonts w:cs="Calibri"/>
                <w:b/>
              </w:rPr>
              <w:t xml:space="preserve"> </w:t>
            </w:r>
            <w:proofErr w:type="spellStart"/>
            <w:r>
              <w:rPr>
                <w:rFonts w:cs="Calibri"/>
                <w:b/>
              </w:rPr>
              <w:t>minors</w:t>
            </w:r>
            <w:proofErr w:type="spellEnd"/>
          </w:p>
        </w:tc>
      </w:tr>
      <w:tr w:rsidR="00996C36" w:rsidTr="00277D79">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Appeal</w:t>
            </w:r>
            <w:proofErr w:type="spellEnd"/>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83197B">
            <w:pPr>
              <w:spacing w:after="0" w:line="240" w:lineRule="auto"/>
              <w:rPr>
                <w:rFonts w:cs="Calibri"/>
                <w:b/>
              </w:rPr>
            </w:pPr>
            <w:proofErr w:type="spellStart"/>
            <w:r>
              <w:rPr>
                <w:rFonts w:cs="Calibri"/>
                <w:b/>
              </w:rPr>
              <w:t>Austria</w:t>
            </w:r>
            <w:proofErr w:type="spellEnd"/>
          </w:p>
        </w:tc>
      </w:tr>
      <w:tr w:rsidR="00996C36" w:rsidRPr="00996C36" w:rsidTr="00277D79">
        <w:tc>
          <w:tcPr>
            <w:tcW w:w="2694" w:type="dxa"/>
            <w:gridSpan w:val="2"/>
            <w:tcBorders>
              <w:top w:val="single" w:sz="12"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Responsible Member State under Dublin Criteria</w:t>
            </w:r>
          </w:p>
        </w:tc>
        <w:tc>
          <w:tcPr>
            <w:tcW w:w="6770" w:type="dxa"/>
            <w:gridSpan w:val="2"/>
            <w:tcBorders>
              <w:top w:val="single" w:sz="12" w:space="0" w:color="000000"/>
              <w:left w:val="single" w:sz="4" w:space="0" w:color="000000"/>
              <w:bottom w:val="single" w:sz="4" w:space="0" w:color="000000"/>
              <w:right w:val="single" w:sz="4" w:space="0" w:color="000000"/>
            </w:tcBorders>
          </w:tcPr>
          <w:p w:rsidR="00996C36" w:rsidRDefault="00E92225">
            <w:pPr>
              <w:spacing w:after="0" w:line="240" w:lineRule="auto"/>
              <w:rPr>
                <w:rFonts w:cs="Calibri"/>
                <w:b/>
                <w:lang w:val="en-US"/>
              </w:rPr>
            </w:pPr>
            <w:r>
              <w:rPr>
                <w:rFonts w:cs="Calibri"/>
                <w:b/>
                <w:lang w:val="en-US"/>
              </w:rPr>
              <w:t>Bulgaria</w:t>
            </w:r>
          </w:p>
        </w:tc>
      </w:tr>
      <w:tr w:rsidR="00996C36" w:rsidTr="00277D79">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Case </w:t>
            </w:r>
            <w:proofErr w:type="spellStart"/>
            <w:r>
              <w:rPr>
                <w:rFonts w:cs="Calibri"/>
              </w:rPr>
              <w:t>name</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
                <w:lang w:val="nl-NL"/>
              </w:rPr>
            </w:pPr>
          </w:p>
        </w:tc>
      </w:tr>
      <w:tr w:rsidR="00996C36" w:rsidRPr="00996C36" w:rsidTr="00277D79">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Appeal body name i.e. Court/Tribunal/Appeals Board</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AB7286">
            <w:pPr>
              <w:spacing w:after="0" w:line="240" w:lineRule="auto"/>
              <w:rPr>
                <w:rFonts w:cs="Calibri"/>
                <w:b/>
                <w:lang w:val="nl-NL"/>
              </w:rPr>
            </w:pPr>
            <w:r>
              <w:rPr>
                <w:rFonts w:cs="Calibri"/>
                <w:b/>
                <w:lang w:val="nl-NL"/>
              </w:rPr>
              <w:t>Asylum Court</w:t>
            </w:r>
          </w:p>
        </w:tc>
      </w:tr>
      <w:tr w:rsidR="00996C36" w:rsidTr="00277D79">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GB"/>
              </w:rPr>
            </w:pPr>
            <w:r>
              <w:rPr>
                <w:rFonts w:cs="Calibri"/>
                <w:lang w:val="en-GB"/>
              </w:rPr>
              <w:t>Decision number/Neutral citation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E92225" w:rsidP="00277D79">
            <w:pPr>
              <w:spacing w:after="0" w:line="240" w:lineRule="auto"/>
              <w:rPr>
                <w:rFonts w:cs="Calibri"/>
                <w:b/>
                <w:lang w:val="en-GB"/>
              </w:rPr>
            </w:pPr>
            <w:r>
              <w:rPr>
                <w:rFonts w:cs="Calibri"/>
                <w:b/>
                <w:lang w:val="en-GB"/>
              </w:rPr>
              <w:t>S7 421.632-1/2011/2E</w:t>
            </w:r>
            <w:r w:rsidR="00074073">
              <w:rPr>
                <w:rFonts w:cs="Calibri"/>
                <w:b/>
                <w:lang w:val="en-GB"/>
              </w:rPr>
              <w:br/>
            </w:r>
            <w:bookmarkStart w:id="0" w:name="_GoBack"/>
            <w:r w:rsidR="00074073" w:rsidRPr="00074073">
              <w:rPr>
                <w:rFonts w:cs="Calibri"/>
                <w:lang w:val="en-US"/>
              </w:rPr>
              <w:t>http://www.ris.bka.gv.at/Dokument.wxe?Abfrage=AsylGH&amp;Dokumentnummer=ASYLGHT_20111011_S7_421_632_1_2011_00</w:t>
            </w:r>
            <w:bookmarkEnd w:id="0"/>
          </w:p>
        </w:tc>
      </w:tr>
      <w:tr w:rsidR="00996C36" w:rsidRPr="00996C36" w:rsidTr="00277D79">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lang w:val="en-US"/>
              </w:rPr>
            </w:pPr>
            <w:r>
              <w:rPr>
                <w:rFonts w:cs="Calibri"/>
                <w:lang w:val="en-US"/>
              </w:rPr>
              <w:t>Date decision delivered or promulgated: Date of determination</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E92225">
            <w:pPr>
              <w:spacing w:after="0" w:line="240" w:lineRule="auto"/>
              <w:rPr>
                <w:rFonts w:cs="Calibri"/>
                <w:b/>
                <w:lang w:val="en-US"/>
              </w:rPr>
            </w:pPr>
            <w:r>
              <w:rPr>
                <w:rFonts w:cs="Calibri"/>
                <w:b/>
                <w:lang w:val="en-US"/>
              </w:rPr>
              <w:t>11.10.2011</w:t>
            </w:r>
          </w:p>
        </w:tc>
      </w:tr>
      <w:tr w:rsidR="00996C36" w:rsidTr="00277D79">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r>
              <w:rPr>
                <w:rFonts w:cs="Calibri"/>
              </w:rPr>
              <w:t xml:space="preserve">Country of </w:t>
            </w:r>
            <w:proofErr w:type="spellStart"/>
            <w:r>
              <w:rPr>
                <w:rFonts w:cs="Calibri"/>
              </w:rPr>
              <w:t>applicant</w:t>
            </w:r>
            <w:proofErr w:type="spellEnd"/>
            <w:r>
              <w:rPr>
                <w:rFonts w:cs="Calibri"/>
              </w:rPr>
              <w:t>/</w:t>
            </w:r>
            <w:proofErr w:type="spellStart"/>
            <w:r>
              <w:rPr>
                <w:rFonts w:cs="Calibri"/>
              </w:rPr>
              <w:t>Claimant</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E92225">
            <w:pPr>
              <w:spacing w:after="0" w:line="240" w:lineRule="auto"/>
              <w:rPr>
                <w:rFonts w:cs="Calibri"/>
                <w:bCs/>
              </w:rPr>
            </w:pPr>
            <w:r>
              <w:rPr>
                <w:rFonts w:cs="Calibri"/>
                <w:bCs/>
              </w:rPr>
              <w:t>Afghanistan</w:t>
            </w:r>
          </w:p>
        </w:tc>
      </w:tr>
      <w:tr w:rsidR="00996C36" w:rsidTr="00277D79">
        <w:tc>
          <w:tcPr>
            <w:tcW w:w="2694" w:type="dxa"/>
            <w:gridSpan w:val="2"/>
            <w:tcBorders>
              <w:top w:val="single" w:sz="4" w:space="0" w:color="000000"/>
              <w:left w:val="single" w:sz="4" w:space="0" w:color="000000"/>
              <w:bottom w:val="single" w:sz="4" w:space="0" w:color="000000"/>
              <w:right w:val="single" w:sz="4" w:space="0" w:color="000000"/>
            </w:tcBorders>
            <w:hideMark/>
          </w:tcPr>
          <w:p w:rsidR="00996C36" w:rsidRDefault="00996C36">
            <w:pPr>
              <w:spacing w:after="0" w:line="240" w:lineRule="auto"/>
              <w:rPr>
                <w:rFonts w:cs="Calibri"/>
              </w:rPr>
            </w:pPr>
            <w:proofErr w:type="spellStart"/>
            <w:r>
              <w:rPr>
                <w:rFonts w:cs="Calibri"/>
              </w:rPr>
              <w:t>Summary</w:t>
            </w:r>
            <w:proofErr w:type="spellEnd"/>
            <w:r>
              <w:rPr>
                <w:rFonts w:cs="Calibri"/>
              </w:rPr>
              <w:t xml:space="preserve"> of the case</w:t>
            </w:r>
          </w:p>
        </w:tc>
        <w:tc>
          <w:tcPr>
            <w:tcW w:w="6770" w:type="dxa"/>
            <w:gridSpan w:val="2"/>
            <w:tcBorders>
              <w:top w:val="single" w:sz="4" w:space="0" w:color="000000"/>
              <w:left w:val="single" w:sz="4" w:space="0" w:color="000000"/>
              <w:bottom w:val="single" w:sz="4" w:space="0" w:color="000000"/>
              <w:right w:val="single" w:sz="4" w:space="0" w:color="000000"/>
            </w:tcBorders>
          </w:tcPr>
          <w:p w:rsidR="00996C36" w:rsidRDefault="00996C36">
            <w:pPr>
              <w:spacing w:after="0" w:line="240" w:lineRule="auto"/>
              <w:rPr>
                <w:rFonts w:cs="Calibri"/>
                <w:bCs/>
                <w:lang w:val="nl-NL"/>
              </w:rPr>
            </w:pPr>
          </w:p>
        </w:tc>
      </w:tr>
      <w:tr w:rsidR="00996C36" w:rsidTr="00277D79">
        <w:trPr>
          <w:trHeight w:val="385"/>
        </w:trPr>
        <w:tc>
          <w:tcPr>
            <w:tcW w:w="435" w:type="dxa"/>
            <w:tcBorders>
              <w:top w:val="single" w:sz="4" w:space="0" w:color="auto"/>
              <w:left w:val="single" w:sz="4" w:space="0" w:color="000000"/>
              <w:bottom w:val="single" w:sz="4" w:space="0" w:color="auto"/>
              <w:right w:val="single" w:sz="4" w:space="0" w:color="000000"/>
            </w:tcBorders>
          </w:tcPr>
          <w:p w:rsidR="00996C36" w:rsidRDefault="00996C36">
            <w:pPr>
              <w:spacing w:after="0" w:line="240" w:lineRule="auto"/>
              <w:rPr>
                <w:rFonts w:cs="Calibri"/>
              </w:rPr>
            </w:pPr>
          </w:p>
        </w:tc>
        <w:tc>
          <w:tcPr>
            <w:tcW w:w="2259" w:type="dxa"/>
            <w:tcBorders>
              <w:top w:val="single" w:sz="4" w:space="0" w:color="auto"/>
              <w:left w:val="single" w:sz="4" w:space="0" w:color="000000"/>
              <w:bottom w:val="single" w:sz="4" w:space="0" w:color="auto"/>
              <w:right w:val="single" w:sz="4" w:space="0" w:color="000000"/>
            </w:tcBorders>
            <w:hideMark/>
          </w:tcPr>
          <w:p w:rsidR="00996C36" w:rsidRDefault="00996C36">
            <w:pPr>
              <w:spacing w:after="0" w:line="240" w:lineRule="auto"/>
              <w:rPr>
                <w:rFonts w:cs="Calibri"/>
                <w:i/>
              </w:rPr>
            </w:pPr>
            <w:proofErr w:type="spellStart"/>
            <w:r>
              <w:rPr>
                <w:rFonts w:cs="Calibri"/>
                <w:i/>
              </w:rPr>
              <w:t>Facts</w:t>
            </w:r>
            <w:proofErr w:type="spellEnd"/>
            <w:r>
              <w:rPr>
                <w:rFonts w:cs="Calibri"/>
                <w:i/>
              </w:rPr>
              <w:t xml:space="preserve"> (</w:t>
            </w:r>
            <w:proofErr w:type="spellStart"/>
            <w:r>
              <w:rPr>
                <w:rFonts w:cs="Calibri"/>
                <w:i/>
              </w:rPr>
              <w:t>brief</w:t>
            </w:r>
            <w:proofErr w:type="spellEnd"/>
            <w:r>
              <w:rPr>
                <w:rFonts w:cs="Calibri"/>
                <w:i/>
              </w:rPr>
              <w:t xml:space="preserve"> </w:t>
            </w:r>
            <w:proofErr w:type="spellStart"/>
            <w:r>
              <w:rPr>
                <w:rFonts w:cs="Calibri"/>
                <w:i/>
              </w:rPr>
              <w:t>overview</w:t>
            </w:r>
            <w:proofErr w:type="spellEnd"/>
            <w:r>
              <w:rPr>
                <w:rFonts w:cs="Calibri"/>
                <w:i/>
              </w:rPr>
              <w:t>)</w:t>
            </w:r>
          </w:p>
        </w:tc>
        <w:tc>
          <w:tcPr>
            <w:tcW w:w="6770" w:type="dxa"/>
            <w:gridSpan w:val="2"/>
            <w:tcBorders>
              <w:top w:val="single" w:sz="4" w:space="0" w:color="auto"/>
              <w:left w:val="single" w:sz="4" w:space="0" w:color="000000"/>
              <w:bottom w:val="single" w:sz="4" w:space="0" w:color="auto"/>
              <w:right w:val="single" w:sz="4" w:space="0" w:color="000000"/>
            </w:tcBorders>
          </w:tcPr>
          <w:p w:rsidR="00E92225" w:rsidRPr="00156F72" w:rsidRDefault="00E92225" w:rsidP="00E92225">
            <w:pPr>
              <w:snapToGrid w:val="0"/>
              <w:spacing w:after="0" w:line="100" w:lineRule="atLeast"/>
              <w:jc w:val="both"/>
              <w:rPr>
                <w:rFonts w:cs="Calibri"/>
                <w:b/>
                <w:lang w:val="nl-NL"/>
              </w:rPr>
            </w:pPr>
            <w:r w:rsidRPr="00156F72">
              <w:rPr>
                <w:rFonts w:cs="Calibri"/>
                <w:b/>
                <w:lang w:val="nl-NL"/>
              </w:rPr>
              <w:t xml:space="preserve">The applicant is a mother of seven children (three other children of her already died, one </w:t>
            </w:r>
            <w:r w:rsidRPr="00156F72">
              <w:rPr>
                <w:rFonts w:cs="Calibri"/>
                <w:b/>
                <w:lang w:val="en-US"/>
              </w:rPr>
              <w:t>adult and</w:t>
            </w:r>
            <w:r w:rsidRPr="00156F72">
              <w:rPr>
                <w:rFonts w:cs="Calibri"/>
                <w:b/>
                <w:lang w:val="nl-NL"/>
              </w:rPr>
              <w:t xml:space="preserve"> married daughter stayed in Afghanistan) and a widow. </w:t>
            </w:r>
            <w:r>
              <w:rPr>
                <w:rFonts w:cs="Calibri"/>
                <w:b/>
                <w:lang w:val="nl-NL"/>
              </w:rPr>
              <w:t xml:space="preserve">She </w:t>
            </w:r>
            <w:r w:rsidRPr="00156F72">
              <w:rPr>
                <w:rFonts w:cs="Calibri"/>
                <w:b/>
                <w:lang w:val="nl-NL"/>
              </w:rPr>
              <w:t>is also completely illiterate.</w:t>
            </w:r>
          </w:p>
          <w:p w:rsidR="00E92225" w:rsidRPr="00156F72" w:rsidRDefault="00E92225" w:rsidP="00E92225">
            <w:pPr>
              <w:spacing w:after="0" w:line="100" w:lineRule="atLeast"/>
              <w:jc w:val="both"/>
              <w:rPr>
                <w:rFonts w:cs="Calibri"/>
                <w:b/>
                <w:lang w:val="nl-NL"/>
              </w:rPr>
            </w:pPr>
            <w:r w:rsidRPr="00156F72">
              <w:rPr>
                <w:rFonts w:cs="Calibri"/>
                <w:b/>
                <w:lang w:val="nl-NL"/>
              </w:rPr>
              <w:t xml:space="preserve">The applicant’s son </w:t>
            </w:r>
            <w:r w:rsidRPr="00156F72">
              <w:rPr>
                <w:rFonts w:cs="Calibri"/>
                <w:b/>
                <w:lang w:val="en-US"/>
              </w:rPr>
              <w:t>was</w:t>
            </w:r>
            <w:r w:rsidRPr="00156F72">
              <w:rPr>
                <w:rFonts w:cs="Calibri"/>
                <w:b/>
                <w:lang w:val="nl-NL"/>
              </w:rPr>
              <w:t xml:space="preserve"> an unaccompanied minor who had come to Austria in 2009. He </w:t>
            </w:r>
            <w:r w:rsidRPr="00156F72">
              <w:rPr>
                <w:rFonts w:cs="Calibri"/>
                <w:b/>
                <w:lang w:val="en-US"/>
              </w:rPr>
              <w:t xml:space="preserve">had </w:t>
            </w:r>
            <w:r w:rsidRPr="00156F72">
              <w:rPr>
                <w:rFonts w:cs="Calibri"/>
                <w:b/>
                <w:lang w:val="nl-NL"/>
              </w:rPr>
              <w:t xml:space="preserve">applied for asylum and when his mother came to Austria his case was </w:t>
            </w:r>
            <w:r w:rsidRPr="00156F72">
              <w:rPr>
                <w:rFonts w:cs="Calibri"/>
                <w:b/>
                <w:lang w:val="en-US"/>
              </w:rPr>
              <w:t>re</w:t>
            </w:r>
            <w:r w:rsidRPr="00156F72">
              <w:rPr>
                <w:rFonts w:cs="Calibri"/>
                <w:b/>
                <w:lang w:val="nl-NL"/>
              </w:rPr>
              <w:t>opened at the Asylum Court in a procedure in merits.</w:t>
            </w:r>
          </w:p>
          <w:p w:rsidR="00E92225" w:rsidRPr="00156F72" w:rsidRDefault="00E92225" w:rsidP="00E92225">
            <w:pPr>
              <w:spacing w:after="0" w:line="100" w:lineRule="atLeast"/>
              <w:jc w:val="both"/>
              <w:rPr>
                <w:rFonts w:cs="Calibri"/>
                <w:b/>
                <w:lang w:val="nl-NL"/>
              </w:rPr>
            </w:pPr>
            <w:r w:rsidRPr="00156F72">
              <w:rPr>
                <w:rFonts w:cs="Calibri"/>
                <w:b/>
                <w:lang w:val="nl-NL"/>
              </w:rPr>
              <w:t>In 2010 the applicant – and five more of her underaged children –</w:t>
            </w:r>
            <w:r w:rsidRPr="00156F72">
              <w:rPr>
                <w:rFonts w:cs="Calibri"/>
                <w:b/>
                <w:lang w:val="en-US"/>
              </w:rPr>
              <w:t xml:space="preserve"> </w:t>
            </w:r>
            <w:r w:rsidRPr="00156F72">
              <w:rPr>
                <w:rFonts w:cs="Calibri"/>
                <w:b/>
                <w:lang w:val="nl-NL"/>
              </w:rPr>
              <w:t>came to Bulgaria. They applied for asylum and received the status of subsidiary protection. In 2011 she found out that her son lives in Austria, so she and her five children also came to Austria and applied for asylum.</w:t>
            </w:r>
          </w:p>
          <w:p w:rsidR="00E92225" w:rsidRPr="00156F72" w:rsidRDefault="00E92225" w:rsidP="00E92225">
            <w:pPr>
              <w:spacing w:after="0" w:line="100" w:lineRule="atLeast"/>
              <w:jc w:val="both"/>
              <w:rPr>
                <w:rFonts w:cs="Calibri"/>
                <w:b/>
                <w:lang w:val="nl-NL"/>
              </w:rPr>
            </w:pPr>
            <w:r w:rsidRPr="00156F72">
              <w:rPr>
                <w:rFonts w:cs="Calibri"/>
                <w:b/>
                <w:lang w:val="nl-NL"/>
              </w:rPr>
              <w:t xml:space="preserve">Austria held consultations with Bulgaria. Bulgaria agreed to take them back and confirmed that they have subsidiary protection. Bulgaria also stated that a family reunification with an underaged child is possible in Bulgaria for persons with subsidiary protection. </w:t>
            </w:r>
          </w:p>
          <w:p w:rsidR="00996C36" w:rsidRDefault="00E92225" w:rsidP="00E92225">
            <w:pPr>
              <w:spacing w:after="0" w:line="240" w:lineRule="auto"/>
              <w:jc w:val="both"/>
              <w:rPr>
                <w:rFonts w:cs="Calibri"/>
                <w:b/>
                <w:lang w:val="nl-NL"/>
              </w:rPr>
            </w:pPr>
            <w:r w:rsidRPr="00156F72">
              <w:rPr>
                <w:rFonts w:cs="Calibri"/>
                <w:b/>
                <w:lang w:val="nl-NL"/>
              </w:rPr>
              <w:t>The Federal Asylum Office rejected their application and expelled them to Bulgaria. The applicant appealed against this decision to the Asylum Court.</w:t>
            </w:r>
          </w:p>
        </w:tc>
      </w:tr>
      <w:tr w:rsidR="00E92225" w:rsidTr="00277D79">
        <w:trPr>
          <w:trHeight w:val="385"/>
        </w:trPr>
        <w:tc>
          <w:tcPr>
            <w:tcW w:w="435" w:type="dxa"/>
            <w:tcBorders>
              <w:top w:val="single" w:sz="4" w:space="0" w:color="auto"/>
              <w:left w:val="single" w:sz="4" w:space="0" w:color="000000"/>
              <w:bottom w:val="single" w:sz="4" w:space="0" w:color="auto"/>
              <w:right w:val="single" w:sz="4" w:space="0" w:color="000000"/>
            </w:tcBorders>
            <w:hideMark/>
          </w:tcPr>
          <w:p w:rsidR="00E92225" w:rsidRDefault="00E92225">
            <w:pPr>
              <w:spacing w:after="0" w:line="240" w:lineRule="auto"/>
              <w:rPr>
                <w:rFonts w:cs="Calibri"/>
                <w:lang w:val="nl-NL"/>
              </w:rPr>
            </w:pPr>
            <w:r>
              <w:rPr>
                <w:rFonts w:cs="Calibri"/>
                <w:b/>
                <w:lang w:val="nl-NL"/>
              </w:rPr>
              <w:t xml:space="preserve">        </w:t>
            </w:r>
          </w:p>
        </w:tc>
        <w:tc>
          <w:tcPr>
            <w:tcW w:w="2259" w:type="dxa"/>
            <w:tcBorders>
              <w:top w:val="single" w:sz="4" w:space="0" w:color="auto"/>
              <w:left w:val="single" w:sz="4" w:space="0" w:color="000000"/>
              <w:bottom w:val="single" w:sz="4" w:space="0" w:color="auto"/>
              <w:right w:val="single" w:sz="4" w:space="0" w:color="000000"/>
            </w:tcBorders>
            <w:hideMark/>
          </w:tcPr>
          <w:p w:rsidR="00E92225" w:rsidRDefault="00E92225" w:rsidP="00277D79">
            <w:pPr>
              <w:spacing w:after="0" w:line="240" w:lineRule="auto"/>
              <w:rPr>
                <w:rFonts w:cs="Calibri"/>
                <w:i/>
              </w:rPr>
            </w:pPr>
            <w:proofErr w:type="spellStart"/>
            <w:r>
              <w:rPr>
                <w:rFonts w:cs="Calibri"/>
                <w:i/>
              </w:rPr>
              <w:t>Decision</w:t>
            </w:r>
            <w:proofErr w:type="spellEnd"/>
            <w:r>
              <w:rPr>
                <w:rFonts w:cs="Calibri"/>
                <w:i/>
              </w:rPr>
              <w:t xml:space="preserve"> &amp; </w:t>
            </w:r>
            <w:proofErr w:type="spellStart"/>
            <w:r>
              <w:rPr>
                <w:rFonts w:cs="Calibri"/>
                <w:i/>
              </w:rPr>
              <w:t>Reasoning</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E92225" w:rsidRPr="00156F72" w:rsidRDefault="00E92225" w:rsidP="00D403E5">
            <w:pPr>
              <w:snapToGrid w:val="0"/>
              <w:spacing w:after="0" w:line="100" w:lineRule="atLeast"/>
              <w:jc w:val="both"/>
              <w:rPr>
                <w:rFonts w:cs="Calibri"/>
                <w:b/>
                <w:lang w:val="nl-NL"/>
              </w:rPr>
            </w:pPr>
            <w:r w:rsidRPr="00156F72">
              <w:rPr>
                <w:rFonts w:cs="Calibri"/>
                <w:b/>
                <w:lang w:val="nl-NL"/>
              </w:rPr>
              <w:t>The Asylum Court refused the appeal.</w:t>
            </w:r>
          </w:p>
          <w:p w:rsidR="00E92225" w:rsidRPr="00156F72" w:rsidRDefault="00E92225" w:rsidP="00D403E5">
            <w:pPr>
              <w:spacing w:after="0" w:line="100" w:lineRule="atLeast"/>
              <w:jc w:val="both"/>
              <w:rPr>
                <w:rFonts w:cs="Calibri"/>
                <w:b/>
                <w:lang w:val="nl-NL"/>
              </w:rPr>
            </w:pPr>
            <w:r w:rsidRPr="00156F72">
              <w:rPr>
                <w:rFonts w:cs="Calibri"/>
                <w:b/>
                <w:lang w:val="nl-NL"/>
              </w:rPr>
              <w:t>Due to the situation in Bulgaria there is no real risk of a violation of Art 3 ECHR in case of a return there. So Austria does not have to use the sovereignty clause.</w:t>
            </w:r>
          </w:p>
          <w:p w:rsidR="00E92225" w:rsidRPr="00156F72" w:rsidRDefault="00E92225" w:rsidP="00D403E5">
            <w:pPr>
              <w:spacing w:after="0" w:line="100" w:lineRule="atLeast"/>
              <w:jc w:val="both"/>
              <w:rPr>
                <w:rFonts w:cs="Calibri"/>
                <w:b/>
                <w:lang w:val="nl-NL"/>
              </w:rPr>
            </w:pPr>
            <w:r w:rsidRPr="00156F72">
              <w:rPr>
                <w:rFonts w:cs="Calibri"/>
                <w:b/>
                <w:lang w:val="nl-NL"/>
              </w:rPr>
              <w:t xml:space="preserve">There is no violation of Art 8 ECHR. The applicant wanted to violate Dublin II regulation herself by leaving Bulgaria and applying for asylum in Austria although Bulgaria is responsible for conducting her asylum procedure. Additionally, she had the possibility of a family reunification in Bulgaria but tried to force a family reunification in Austria. The family had already been seperated for a period of two years </w:t>
            </w:r>
            <w:r w:rsidRPr="00156F72">
              <w:rPr>
                <w:rFonts w:cs="Calibri"/>
                <w:b/>
                <w:lang w:val="en-US"/>
              </w:rPr>
              <w:t>since</w:t>
            </w:r>
            <w:r w:rsidRPr="00156F72">
              <w:rPr>
                <w:rFonts w:cs="Calibri"/>
                <w:b/>
                <w:lang w:val="nl-NL"/>
              </w:rPr>
              <w:t xml:space="preserve"> the applicant had sent her then 13 year old son to Austria. It was therefore concluded, that there is no family life which is worth being protected.</w:t>
            </w:r>
          </w:p>
        </w:tc>
      </w:tr>
      <w:tr w:rsidR="00E92225" w:rsidRPr="00996C36" w:rsidTr="00277D79">
        <w:trPr>
          <w:trHeight w:val="385"/>
        </w:trPr>
        <w:tc>
          <w:tcPr>
            <w:tcW w:w="435" w:type="dxa"/>
            <w:tcBorders>
              <w:top w:val="single" w:sz="4" w:space="0" w:color="auto"/>
              <w:left w:val="single" w:sz="4" w:space="0" w:color="000000"/>
              <w:bottom w:val="single" w:sz="4" w:space="0" w:color="auto"/>
              <w:right w:val="single" w:sz="4" w:space="0" w:color="000000"/>
            </w:tcBorders>
          </w:tcPr>
          <w:p w:rsidR="00E92225" w:rsidRDefault="00E92225">
            <w:pPr>
              <w:spacing w:after="0" w:line="240" w:lineRule="auto"/>
              <w:rPr>
                <w:rFonts w:cs="Calibri"/>
                <w:b/>
                <w:lang w:val="nl-NL"/>
              </w:rPr>
            </w:pPr>
          </w:p>
        </w:tc>
        <w:tc>
          <w:tcPr>
            <w:tcW w:w="2259" w:type="dxa"/>
            <w:tcBorders>
              <w:top w:val="single" w:sz="4" w:space="0" w:color="auto"/>
              <w:left w:val="single" w:sz="4" w:space="0" w:color="000000"/>
              <w:bottom w:val="single" w:sz="4" w:space="0" w:color="auto"/>
              <w:right w:val="single" w:sz="4" w:space="0" w:color="000000"/>
            </w:tcBorders>
            <w:hideMark/>
          </w:tcPr>
          <w:p w:rsidR="00E92225" w:rsidRDefault="00E92225" w:rsidP="00277D79">
            <w:pPr>
              <w:spacing w:after="0" w:line="240" w:lineRule="auto"/>
              <w:rPr>
                <w:rFonts w:cs="Calibri"/>
                <w:i/>
                <w:lang w:val="en-US"/>
              </w:rPr>
            </w:pPr>
            <w:r>
              <w:rPr>
                <w:rFonts w:cs="Calibri"/>
                <w:i/>
                <w:lang w:val="en-US"/>
              </w:rPr>
              <w:t xml:space="preserve">Relevant extracts from the </w:t>
            </w:r>
            <w:proofErr w:type="spellStart"/>
            <w:r>
              <w:rPr>
                <w:rFonts w:cs="Calibri"/>
                <w:i/>
                <w:lang w:val="en-US"/>
              </w:rPr>
              <w:t>judgemen</w:t>
            </w:r>
            <w:r w:rsidR="00277D79">
              <w:rPr>
                <w:rFonts w:cs="Calibri"/>
                <w:i/>
                <w:lang w:val="en-US"/>
              </w:rPr>
              <w:t>t</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E92225" w:rsidRDefault="00E92225">
            <w:pPr>
              <w:spacing w:after="0" w:line="240" w:lineRule="auto"/>
              <w:rPr>
                <w:rFonts w:cs="Calibri"/>
                <w:b/>
                <w:lang w:val="nl-NL"/>
              </w:rPr>
            </w:pPr>
          </w:p>
        </w:tc>
      </w:tr>
      <w:tr w:rsidR="00E92225" w:rsidTr="00277D79">
        <w:trPr>
          <w:trHeight w:val="325"/>
        </w:trPr>
        <w:tc>
          <w:tcPr>
            <w:tcW w:w="435" w:type="dxa"/>
            <w:tcBorders>
              <w:top w:val="single" w:sz="4" w:space="0" w:color="auto"/>
              <w:left w:val="single" w:sz="4" w:space="0" w:color="000000"/>
              <w:bottom w:val="single" w:sz="4" w:space="0" w:color="auto"/>
              <w:right w:val="single" w:sz="4" w:space="0" w:color="000000"/>
            </w:tcBorders>
          </w:tcPr>
          <w:p w:rsidR="00E92225" w:rsidRDefault="00E92225">
            <w:pPr>
              <w:spacing w:after="0" w:line="240" w:lineRule="auto"/>
              <w:rPr>
                <w:rFonts w:cs="Calibri"/>
                <w:lang w:val="nl-NL"/>
              </w:rPr>
            </w:pPr>
          </w:p>
        </w:tc>
        <w:tc>
          <w:tcPr>
            <w:tcW w:w="2259" w:type="dxa"/>
            <w:tcBorders>
              <w:top w:val="single" w:sz="4" w:space="0" w:color="auto"/>
              <w:left w:val="single" w:sz="4" w:space="0" w:color="000000"/>
              <w:bottom w:val="single" w:sz="4" w:space="0" w:color="auto"/>
              <w:right w:val="single" w:sz="4" w:space="0" w:color="000000"/>
            </w:tcBorders>
            <w:hideMark/>
          </w:tcPr>
          <w:p w:rsidR="00E92225" w:rsidRDefault="00E92225">
            <w:pPr>
              <w:spacing w:after="0" w:line="240" w:lineRule="auto"/>
              <w:rPr>
                <w:rFonts w:cs="Calibri"/>
                <w:i/>
              </w:rPr>
            </w:pPr>
            <w:proofErr w:type="spellStart"/>
            <w:r>
              <w:rPr>
                <w:rFonts w:cs="Calibri"/>
                <w:i/>
              </w:rPr>
              <w:t>Outcome</w:t>
            </w:r>
            <w:proofErr w:type="spellEnd"/>
            <w:r>
              <w:rPr>
                <w:rFonts w:cs="Calibri"/>
                <w:i/>
              </w:rPr>
              <w:t xml:space="preserve"> of </w:t>
            </w:r>
            <w:proofErr w:type="spellStart"/>
            <w:r>
              <w:rPr>
                <w:rFonts w:cs="Calibri"/>
                <w:i/>
              </w:rPr>
              <w:t>proceedings</w:t>
            </w:r>
            <w:proofErr w:type="spellEnd"/>
          </w:p>
        </w:tc>
        <w:tc>
          <w:tcPr>
            <w:tcW w:w="6770" w:type="dxa"/>
            <w:gridSpan w:val="2"/>
            <w:tcBorders>
              <w:top w:val="single" w:sz="4" w:space="0" w:color="auto"/>
              <w:left w:val="single" w:sz="4" w:space="0" w:color="000000"/>
              <w:bottom w:val="single" w:sz="4" w:space="0" w:color="auto"/>
              <w:right w:val="single" w:sz="4" w:space="0" w:color="000000"/>
            </w:tcBorders>
          </w:tcPr>
          <w:p w:rsidR="00E92225" w:rsidRDefault="00E92225">
            <w:pPr>
              <w:spacing w:after="0" w:line="240" w:lineRule="auto"/>
              <w:rPr>
                <w:rFonts w:cs="Calibri"/>
                <w:bCs/>
                <w:lang w:val="nl-NL"/>
              </w:rPr>
            </w:pPr>
            <w:r>
              <w:rPr>
                <w:rFonts w:cs="Calibri"/>
                <w:bCs/>
                <w:lang w:val="nl-NL"/>
              </w:rPr>
              <w:t>The appeal was refused and the expulsion order was confirmed.</w:t>
            </w:r>
          </w:p>
        </w:tc>
      </w:tr>
      <w:tr w:rsidR="00E92225" w:rsidTr="00277D79">
        <w:tc>
          <w:tcPr>
            <w:tcW w:w="2694" w:type="dxa"/>
            <w:gridSpan w:val="2"/>
            <w:tcBorders>
              <w:top w:val="nil"/>
              <w:left w:val="single" w:sz="4" w:space="0" w:color="000000"/>
              <w:bottom w:val="single" w:sz="4" w:space="0" w:color="000000"/>
              <w:right w:val="single" w:sz="4" w:space="0" w:color="000000"/>
            </w:tcBorders>
            <w:hideMark/>
          </w:tcPr>
          <w:p w:rsidR="00E92225" w:rsidRDefault="00E92225">
            <w:pPr>
              <w:spacing w:after="0" w:line="240" w:lineRule="auto"/>
              <w:rPr>
                <w:rFonts w:cs="Calibri"/>
              </w:rPr>
            </w:pPr>
            <w:proofErr w:type="spellStart"/>
            <w:r>
              <w:rPr>
                <w:rFonts w:cs="Calibri"/>
              </w:rPr>
              <w:t>Subsequent</w:t>
            </w:r>
            <w:proofErr w:type="spellEnd"/>
            <w:r>
              <w:rPr>
                <w:rFonts w:cs="Calibri"/>
              </w:rPr>
              <w:t xml:space="preserve"> </w:t>
            </w:r>
            <w:proofErr w:type="spellStart"/>
            <w:r>
              <w:rPr>
                <w:rFonts w:cs="Calibri"/>
              </w:rPr>
              <w:t>Proceedings</w:t>
            </w:r>
            <w:proofErr w:type="spellEnd"/>
          </w:p>
        </w:tc>
        <w:tc>
          <w:tcPr>
            <w:tcW w:w="6770" w:type="dxa"/>
            <w:gridSpan w:val="2"/>
            <w:tcBorders>
              <w:top w:val="single" w:sz="4" w:space="0" w:color="000000"/>
              <w:left w:val="single" w:sz="4" w:space="0" w:color="000000"/>
              <w:bottom w:val="single" w:sz="4" w:space="0" w:color="000000"/>
              <w:right w:val="single" w:sz="4" w:space="0" w:color="000000"/>
            </w:tcBorders>
          </w:tcPr>
          <w:p w:rsidR="00E92225" w:rsidRDefault="00E92225" w:rsidP="00AB7286">
            <w:pPr>
              <w:spacing w:after="0" w:line="240" w:lineRule="auto"/>
              <w:jc w:val="both"/>
              <w:rPr>
                <w:rFonts w:cs="Calibri"/>
                <w:b/>
                <w:lang w:val="nl-NL"/>
              </w:rPr>
            </w:pPr>
            <w:r>
              <w:rPr>
                <w:rFonts w:cs="Calibri"/>
                <w:b/>
                <w:lang w:val="nl-NL"/>
              </w:rPr>
              <w:t>An attempt to deport the family to Bulgaria failed. The applicant appealed against this decision to the Constitutional Court, which gave her suspensive effect pending the appeal.</w:t>
            </w:r>
          </w:p>
          <w:p w:rsidR="00E92225" w:rsidRDefault="00E92225" w:rsidP="00E92225">
            <w:pPr>
              <w:spacing w:after="0" w:line="240" w:lineRule="auto"/>
              <w:jc w:val="both"/>
              <w:rPr>
                <w:rFonts w:cs="Calibri"/>
                <w:b/>
                <w:lang w:val="nl-NL"/>
              </w:rPr>
            </w:pPr>
            <w:r>
              <w:rPr>
                <w:rFonts w:cs="Calibri"/>
                <w:b/>
                <w:lang w:val="nl-NL"/>
              </w:rPr>
              <w:t>In July 2012 the Constitutional Court refused to deal with the complaint for the reason that there was obviously violation of a right guaranteed by constitutional law.</w:t>
            </w:r>
          </w:p>
          <w:p w:rsidR="00F6113B" w:rsidRDefault="00F6113B" w:rsidP="00E92225">
            <w:pPr>
              <w:spacing w:after="0" w:line="240" w:lineRule="auto"/>
              <w:jc w:val="both"/>
              <w:rPr>
                <w:rFonts w:cs="Calibri"/>
                <w:b/>
                <w:lang w:val="nl-NL"/>
              </w:rPr>
            </w:pPr>
            <w:r>
              <w:rPr>
                <w:rFonts w:cs="Calibri"/>
                <w:b/>
                <w:lang w:val="nl-NL"/>
              </w:rPr>
              <w:t>The family then applied for asylum once again. The procedure was finally admitted because the period of Art 19 (4) Dublin II Regulation was over. The Federal Asylum Office gave them subsidiary protection, but refused the application regarding asylum. The applicants appealed hte parts of the decision concerning asylum. Concerning the status as a refugee the procedure now is open at the Asylum Court.</w:t>
            </w:r>
          </w:p>
        </w:tc>
      </w:tr>
      <w:tr w:rsidR="00E92225" w:rsidRPr="00996C36" w:rsidTr="00277D79">
        <w:tc>
          <w:tcPr>
            <w:tcW w:w="2694" w:type="dxa"/>
            <w:gridSpan w:val="2"/>
            <w:tcBorders>
              <w:top w:val="single" w:sz="4" w:space="0" w:color="000000"/>
              <w:left w:val="single" w:sz="4" w:space="0" w:color="000000"/>
              <w:bottom w:val="single" w:sz="4" w:space="0" w:color="000000"/>
              <w:right w:val="single" w:sz="4" w:space="0" w:color="000000"/>
            </w:tcBorders>
            <w:hideMark/>
          </w:tcPr>
          <w:p w:rsidR="00E92225" w:rsidRDefault="00E92225">
            <w:pPr>
              <w:spacing w:after="0" w:line="240" w:lineRule="auto"/>
              <w:rPr>
                <w:rFonts w:cs="Calibri"/>
                <w:bCs/>
                <w:lang w:val="en-US"/>
              </w:rPr>
            </w:pPr>
            <w:r>
              <w:rPr>
                <w:rFonts w:cs="Calibri"/>
                <w:bCs/>
                <w:lang w:val="en-US"/>
              </w:rPr>
              <w:t xml:space="preserve">Dublin regulation’s legal provisions applicable </w:t>
            </w:r>
          </w:p>
        </w:tc>
        <w:tc>
          <w:tcPr>
            <w:tcW w:w="6770" w:type="dxa"/>
            <w:gridSpan w:val="2"/>
            <w:tcBorders>
              <w:top w:val="single" w:sz="4" w:space="0" w:color="000000"/>
              <w:left w:val="single" w:sz="4" w:space="0" w:color="000000"/>
              <w:bottom w:val="single" w:sz="4" w:space="0" w:color="000000"/>
              <w:right w:val="single" w:sz="4" w:space="0" w:color="000000"/>
            </w:tcBorders>
          </w:tcPr>
          <w:p w:rsidR="00E92225" w:rsidRDefault="00E92225">
            <w:pPr>
              <w:spacing w:after="0" w:line="240" w:lineRule="auto"/>
              <w:rPr>
                <w:rFonts w:cs="Calibri"/>
                <w:b/>
                <w:lang w:val="en-US"/>
              </w:rPr>
            </w:pPr>
            <w:r>
              <w:rPr>
                <w:rFonts w:cs="Calibri"/>
                <w:b/>
                <w:lang w:val="en-US"/>
              </w:rPr>
              <w:t>Art 16 (1), Art 3 (2), Art 15</w:t>
            </w:r>
          </w:p>
        </w:tc>
      </w:tr>
      <w:tr w:rsidR="00E92225" w:rsidTr="00277D79">
        <w:trPr>
          <w:cantSplit/>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E92225" w:rsidRDefault="00E92225">
            <w:pPr>
              <w:spacing w:after="0" w:line="240" w:lineRule="auto"/>
              <w:rPr>
                <w:rFonts w:cs="Calibri"/>
                <w:bCs/>
              </w:rPr>
            </w:pPr>
            <w:proofErr w:type="spellStart"/>
            <w:r>
              <w:rPr>
                <w:rFonts w:cs="Calibri"/>
                <w:bCs/>
              </w:rPr>
              <w:t>Legal</w:t>
            </w:r>
            <w:proofErr w:type="spellEnd"/>
            <w:r>
              <w:rPr>
                <w:rFonts w:cs="Calibri"/>
                <w:bCs/>
              </w:rPr>
              <w:t xml:space="preserve"> provisions </w:t>
            </w:r>
            <w:proofErr w:type="spellStart"/>
            <w:r>
              <w:rPr>
                <w:rFonts w:cs="Calibri"/>
                <w:bCs/>
              </w:rPr>
              <w:t>cited</w:t>
            </w:r>
            <w:proofErr w:type="spellEnd"/>
            <w:r>
              <w:rPr>
                <w:rFonts w:cs="Calibri"/>
                <w:bCs/>
              </w:rPr>
              <w:t xml:space="preserve"> </w:t>
            </w:r>
          </w:p>
          <w:p w:rsidR="00E92225" w:rsidRDefault="00E92225">
            <w:pPr>
              <w:spacing w:after="0" w:line="240" w:lineRule="auto"/>
              <w:rPr>
                <w:rFonts w:cs="Calibri"/>
                <w:bCs/>
                <w:lang w:val="en-US"/>
              </w:rPr>
            </w:pPr>
            <w:r>
              <w:rPr>
                <w:rFonts w:cs="Calibri"/>
                <w:bCs/>
              </w:rPr>
              <w:t xml:space="preserve">(national &amp; international </w:t>
            </w:r>
            <w:proofErr w:type="spellStart"/>
            <w:r>
              <w:rPr>
                <w:rFonts w:cs="Calibri"/>
                <w:bCs/>
              </w:rPr>
              <w:t>references</w:t>
            </w:r>
            <w:proofErr w:type="spellEnd"/>
            <w:r>
              <w:rPr>
                <w:rFonts w:cs="Calibri"/>
                <w:bCs/>
              </w:rPr>
              <w:t>)</w:t>
            </w:r>
          </w:p>
        </w:tc>
        <w:tc>
          <w:tcPr>
            <w:tcW w:w="3037" w:type="dxa"/>
            <w:tcBorders>
              <w:top w:val="single" w:sz="4" w:space="0" w:color="000000"/>
              <w:left w:val="single" w:sz="4" w:space="0" w:color="000000"/>
              <w:bottom w:val="single" w:sz="4" w:space="0" w:color="000000"/>
              <w:right w:val="single" w:sz="4" w:space="0" w:color="000000"/>
            </w:tcBorders>
          </w:tcPr>
          <w:p w:rsidR="00E92225" w:rsidRDefault="00E92225">
            <w:pPr>
              <w:spacing w:after="0" w:line="240" w:lineRule="auto"/>
              <w:rPr>
                <w:rFonts w:cs="Calibri"/>
                <w:bCs/>
                <w:i/>
                <w:iCs/>
                <w:lang w:val="en-US"/>
              </w:rPr>
            </w:pPr>
            <w:r>
              <w:rPr>
                <w:rFonts w:cs="Calibri"/>
                <w:bCs/>
                <w:i/>
                <w:iCs/>
                <w:lang w:val="en-US"/>
              </w:rPr>
              <w:t>Legislation</w:t>
            </w:r>
          </w:p>
          <w:p w:rsidR="00E92225" w:rsidRDefault="00E92225">
            <w:pPr>
              <w:spacing w:after="0" w:line="240" w:lineRule="auto"/>
              <w:rPr>
                <w:rFonts w:cs="Calibri"/>
                <w:bCs/>
                <w:i/>
                <w:iCs/>
                <w:lang w:val="en-US"/>
              </w:rPr>
            </w:pPr>
          </w:p>
        </w:tc>
        <w:tc>
          <w:tcPr>
            <w:tcW w:w="3733" w:type="dxa"/>
            <w:tcBorders>
              <w:top w:val="single" w:sz="4" w:space="0" w:color="000000"/>
              <w:left w:val="single" w:sz="4" w:space="0" w:color="000000"/>
              <w:bottom w:val="single" w:sz="4" w:space="0" w:color="000000"/>
              <w:right w:val="single" w:sz="4" w:space="0" w:color="000000"/>
            </w:tcBorders>
            <w:hideMark/>
          </w:tcPr>
          <w:p w:rsidR="00E92225" w:rsidRDefault="00E92225">
            <w:pPr>
              <w:spacing w:after="0" w:line="240" w:lineRule="auto"/>
              <w:rPr>
                <w:rFonts w:cs="Calibri"/>
                <w:bCs/>
                <w:i/>
                <w:iCs/>
                <w:lang w:val="en-US"/>
              </w:rPr>
            </w:pPr>
            <w:r>
              <w:rPr>
                <w:rFonts w:cs="Calibri"/>
                <w:bCs/>
                <w:i/>
                <w:iCs/>
                <w:lang w:val="en-US"/>
              </w:rPr>
              <w:t>Articles</w:t>
            </w:r>
          </w:p>
        </w:tc>
      </w:tr>
      <w:tr w:rsidR="00E92225" w:rsidTr="00277D79">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E92225" w:rsidRDefault="00E92225">
            <w:pPr>
              <w:spacing w:after="0" w:line="240" w:lineRule="auto"/>
              <w:rPr>
                <w:rFonts w:cs="Calibri"/>
                <w:bCs/>
                <w:lang w:val="en-US"/>
              </w:rPr>
            </w:pPr>
          </w:p>
        </w:tc>
        <w:tc>
          <w:tcPr>
            <w:tcW w:w="3037" w:type="dxa"/>
            <w:tcBorders>
              <w:top w:val="single" w:sz="4" w:space="0" w:color="000000"/>
              <w:left w:val="single" w:sz="4" w:space="0" w:color="000000"/>
              <w:bottom w:val="dashed" w:sz="4" w:space="0" w:color="auto"/>
              <w:right w:val="dashed" w:sz="4" w:space="0" w:color="auto"/>
            </w:tcBorders>
          </w:tcPr>
          <w:p w:rsidR="00E92225" w:rsidRDefault="00E92225">
            <w:pPr>
              <w:spacing w:after="0" w:line="240" w:lineRule="auto"/>
              <w:rPr>
                <w:rFonts w:cs="Calibri"/>
                <w:bCs/>
                <w:lang w:val="en-US"/>
              </w:rPr>
            </w:pPr>
            <w:r>
              <w:rPr>
                <w:rFonts w:cs="Calibri"/>
                <w:bCs/>
                <w:lang w:val="en-US"/>
              </w:rPr>
              <w:t>ECHR</w:t>
            </w:r>
          </w:p>
        </w:tc>
        <w:tc>
          <w:tcPr>
            <w:tcW w:w="3733" w:type="dxa"/>
            <w:tcBorders>
              <w:top w:val="single" w:sz="4" w:space="0" w:color="000000"/>
              <w:left w:val="dashed" w:sz="4" w:space="0" w:color="auto"/>
              <w:bottom w:val="dashed" w:sz="4" w:space="0" w:color="auto"/>
              <w:right w:val="single" w:sz="4" w:space="0" w:color="000000"/>
            </w:tcBorders>
          </w:tcPr>
          <w:p w:rsidR="00E92225" w:rsidRDefault="00E92225">
            <w:pPr>
              <w:spacing w:after="0" w:line="240" w:lineRule="auto"/>
              <w:rPr>
                <w:rFonts w:cs="Calibri"/>
                <w:bCs/>
                <w:lang w:val="en-US"/>
              </w:rPr>
            </w:pPr>
            <w:r>
              <w:rPr>
                <w:rFonts w:cs="Calibri"/>
                <w:bCs/>
                <w:lang w:val="en-US"/>
              </w:rPr>
              <w:t>Art 8</w:t>
            </w:r>
          </w:p>
        </w:tc>
      </w:tr>
      <w:tr w:rsidR="00E92225" w:rsidTr="00277D79">
        <w:trPr>
          <w:cantSplit/>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E92225" w:rsidRDefault="00E92225">
            <w:pPr>
              <w:spacing w:after="0" w:line="240" w:lineRule="auto"/>
              <w:rPr>
                <w:rFonts w:cs="Calibri"/>
                <w:bCs/>
                <w:lang w:val="en-US"/>
              </w:rPr>
            </w:pPr>
          </w:p>
        </w:tc>
        <w:tc>
          <w:tcPr>
            <w:tcW w:w="3037" w:type="dxa"/>
            <w:tcBorders>
              <w:top w:val="dashed" w:sz="4" w:space="0" w:color="auto"/>
              <w:left w:val="single" w:sz="4" w:space="0" w:color="000000"/>
              <w:bottom w:val="single" w:sz="4" w:space="0" w:color="000000"/>
              <w:right w:val="dashed" w:sz="4" w:space="0" w:color="auto"/>
            </w:tcBorders>
          </w:tcPr>
          <w:p w:rsidR="00E92225" w:rsidRDefault="00E92225">
            <w:pPr>
              <w:spacing w:after="0" w:line="240" w:lineRule="auto"/>
              <w:rPr>
                <w:rFonts w:cs="Calibri"/>
                <w:bCs/>
                <w:lang w:val="en-US"/>
              </w:rPr>
            </w:pPr>
            <w:r>
              <w:rPr>
                <w:rFonts w:cs="Calibri"/>
                <w:bCs/>
                <w:lang w:val="en-US"/>
              </w:rPr>
              <w:t>Asylum Law (</w:t>
            </w:r>
            <w:proofErr w:type="spellStart"/>
            <w:r>
              <w:rPr>
                <w:rFonts w:cs="Calibri"/>
                <w:bCs/>
                <w:lang w:val="en-US"/>
              </w:rPr>
              <w:t>Asylgesetz</w:t>
            </w:r>
            <w:proofErr w:type="spellEnd"/>
            <w:r>
              <w:rPr>
                <w:rFonts w:cs="Calibri"/>
                <w:bCs/>
                <w:lang w:val="en-US"/>
              </w:rPr>
              <w:t xml:space="preserve"> 2005)</w:t>
            </w:r>
          </w:p>
        </w:tc>
        <w:tc>
          <w:tcPr>
            <w:tcW w:w="3733" w:type="dxa"/>
            <w:tcBorders>
              <w:top w:val="dashed" w:sz="4" w:space="0" w:color="auto"/>
              <w:left w:val="dashed" w:sz="4" w:space="0" w:color="auto"/>
              <w:bottom w:val="single" w:sz="4" w:space="0" w:color="000000"/>
              <w:right w:val="single" w:sz="4" w:space="0" w:color="000000"/>
            </w:tcBorders>
          </w:tcPr>
          <w:p w:rsidR="00E92225" w:rsidRDefault="00E92225">
            <w:pPr>
              <w:spacing w:after="0" w:line="240" w:lineRule="auto"/>
              <w:rPr>
                <w:rFonts w:cs="Calibri"/>
                <w:bCs/>
                <w:lang w:val="en-US"/>
              </w:rPr>
            </w:pPr>
            <w:r>
              <w:rPr>
                <w:rFonts w:cs="Calibri"/>
                <w:bCs/>
                <w:lang w:val="en-US"/>
              </w:rPr>
              <w:t>§§ 5, 10</w:t>
            </w:r>
          </w:p>
        </w:tc>
      </w:tr>
      <w:tr w:rsidR="00E92225" w:rsidTr="00277D79">
        <w:trPr>
          <w:cantSplit/>
          <w:trHeight w:val="30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E92225" w:rsidRDefault="00E92225">
            <w:pPr>
              <w:spacing w:after="0" w:line="240" w:lineRule="auto"/>
              <w:rPr>
                <w:rFonts w:cs="Calibri"/>
                <w:bCs/>
                <w:lang w:val="en-US"/>
              </w:rPr>
            </w:pPr>
            <w:r>
              <w:rPr>
                <w:rFonts w:cs="Calibri"/>
                <w:bCs/>
                <w:lang w:val="en-US"/>
              </w:rPr>
              <w:t>Case law cited</w:t>
            </w:r>
          </w:p>
          <w:p w:rsidR="00E92225" w:rsidRDefault="00E92225">
            <w:pPr>
              <w:spacing w:after="0" w:line="240" w:lineRule="auto"/>
              <w:rPr>
                <w:rFonts w:cs="Calibri"/>
                <w:bCs/>
                <w:lang w:val="en-US"/>
              </w:rPr>
            </w:pPr>
            <w:r>
              <w:rPr>
                <w:rFonts w:cs="Calibri"/>
                <w:bCs/>
                <w:lang w:val="en-US"/>
              </w:rPr>
              <w:t>(national &amp; international references)</w:t>
            </w:r>
          </w:p>
        </w:tc>
        <w:tc>
          <w:tcPr>
            <w:tcW w:w="3037" w:type="dxa"/>
            <w:tcBorders>
              <w:top w:val="single" w:sz="4" w:space="0" w:color="000000"/>
              <w:left w:val="single" w:sz="4" w:space="0" w:color="000000"/>
              <w:bottom w:val="single" w:sz="4" w:space="0" w:color="000000"/>
              <w:right w:val="single" w:sz="4" w:space="0" w:color="000000"/>
            </w:tcBorders>
          </w:tcPr>
          <w:p w:rsidR="00E92225" w:rsidRDefault="00E92225">
            <w:pPr>
              <w:spacing w:after="0" w:line="240" w:lineRule="auto"/>
              <w:rPr>
                <w:rFonts w:cs="Calibri"/>
                <w:bCs/>
                <w:i/>
                <w:iCs/>
              </w:rPr>
            </w:pPr>
            <w:r>
              <w:rPr>
                <w:rFonts w:cs="Calibri"/>
                <w:bCs/>
                <w:i/>
                <w:iCs/>
              </w:rPr>
              <w:t xml:space="preserve">Court </w:t>
            </w:r>
            <w:proofErr w:type="spellStart"/>
            <w:r>
              <w:rPr>
                <w:rFonts w:cs="Calibri"/>
                <w:bCs/>
                <w:i/>
                <w:iCs/>
              </w:rPr>
              <w:t>name</w:t>
            </w:r>
            <w:proofErr w:type="spellEnd"/>
          </w:p>
          <w:p w:rsidR="00E92225" w:rsidRDefault="00E92225">
            <w:pPr>
              <w:spacing w:after="0" w:line="240" w:lineRule="auto"/>
              <w:rPr>
                <w:rFonts w:cs="Calibri"/>
                <w:bCs/>
                <w:i/>
                <w:iCs/>
              </w:rPr>
            </w:pPr>
          </w:p>
        </w:tc>
        <w:tc>
          <w:tcPr>
            <w:tcW w:w="3733" w:type="dxa"/>
            <w:tcBorders>
              <w:top w:val="single" w:sz="4" w:space="0" w:color="000000"/>
              <w:left w:val="single" w:sz="4" w:space="0" w:color="000000"/>
              <w:bottom w:val="single" w:sz="4" w:space="0" w:color="000000"/>
              <w:right w:val="single" w:sz="4" w:space="0" w:color="000000"/>
            </w:tcBorders>
            <w:hideMark/>
          </w:tcPr>
          <w:p w:rsidR="00E92225" w:rsidRDefault="00E92225">
            <w:pPr>
              <w:spacing w:after="0" w:line="240" w:lineRule="auto"/>
              <w:rPr>
                <w:rFonts w:cs="Calibri"/>
                <w:bCs/>
                <w:i/>
                <w:iCs/>
              </w:rPr>
            </w:pPr>
            <w:proofErr w:type="spellStart"/>
            <w:r>
              <w:rPr>
                <w:rFonts w:cs="Calibri"/>
                <w:bCs/>
                <w:i/>
                <w:iCs/>
              </w:rPr>
              <w:t>Neutral</w:t>
            </w:r>
            <w:proofErr w:type="spellEnd"/>
            <w:r>
              <w:rPr>
                <w:rFonts w:cs="Calibri"/>
                <w:bCs/>
                <w:i/>
                <w:iCs/>
              </w:rPr>
              <w:t xml:space="preserve"> citation</w:t>
            </w:r>
          </w:p>
        </w:tc>
      </w:tr>
      <w:tr w:rsidR="00E92225" w:rsidTr="00277D79">
        <w:trPr>
          <w:cantSplit/>
          <w:trHeight w:val="266"/>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E92225" w:rsidRDefault="00E92225">
            <w:pPr>
              <w:spacing w:after="0" w:line="240" w:lineRule="auto"/>
              <w:rPr>
                <w:rFonts w:cs="Calibri"/>
                <w:bCs/>
                <w:lang w:val="en-US"/>
              </w:rPr>
            </w:pPr>
          </w:p>
        </w:tc>
        <w:tc>
          <w:tcPr>
            <w:tcW w:w="3037" w:type="dxa"/>
            <w:tcBorders>
              <w:top w:val="single" w:sz="4" w:space="0" w:color="000000"/>
              <w:left w:val="single" w:sz="4" w:space="0" w:color="000000"/>
              <w:bottom w:val="dashed" w:sz="4" w:space="0" w:color="auto"/>
              <w:right w:val="dashed" w:sz="4" w:space="0" w:color="auto"/>
            </w:tcBorders>
          </w:tcPr>
          <w:p w:rsidR="00E92225" w:rsidRDefault="00E92225">
            <w:pPr>
              <w:spacing w:after="0" w:line="240" w:lineRule="auto"/>
              <w:rPr>
                <w:rFonts w:cs="Calibri"/>
                <w:bCs/>
              </w:rPr>
            </w:pPr>
          </w:p>
        </w:tc>
        <w:tc>
          <w:tcPr>
            <w:tcW w:w="3733" w:type="dxa"/>
            <w:tcBorders>
              <w:top w:val="single" w:sz="4" w:space="0" w:color="000000"/>
              <w:left w:val="dashed" w:sz="4" w:space="0" w:color="auto"/>
              <w:bottom w:val="dashed" w:sz="4" w:space="0" w:color="auto"/>
              <w:right w:val="single" w:sz="4" w:space="0" w:color="000000"/>
            </w:tcBorders>
          </w:tcPr>
          <w:p w:rsidR="00E92225" w:rsidRDefault="00E92225">
            <w:pPr>
              <w:spacing w:after="0" w:line="240" w:lineRule="auto"/>
              <w:rPr>
                <w:rFonts w:cs="Calibri"/>
                <w:bCs/>
              </w:rPr>
            </w:pPr>
          </w:p>
        </w:tc>
      </w:tr>
      <w:tr w:rsidR="00E92225" w:rsidTr="00277D79">
        <w:trPr>
          <w:cantSplit/>
          <w:trHeight w:val="23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E92225" w:rsidRDefault="00E92225">
            <w:pPr>
              <w:spacing w:after="0" w:line="240" w:lineRule="auto"/>
              <w:rPr>
                <w:rFonts w:cs="Calibri"/>
                <w:bCs/>
                <w:lang w:val="en-US"/>
              </w:rPr>
            </w:pPr>
          </w:p>
        </w:tc>
        <w:tc>
          <w:tcPr>
            <w:tcW w:w="3037" w:type="dxa"/>
            <w:tcBorders>
              <w:top w:val="dashed" w:sz="4" w:space="0" w:color="auto"/>
              <w:left w:val="single" w:sz="4" w:space="0" w:color="000000"/>
              <w:bottom w:val="single" w:sz="4" w:space="0" w:color="000000"/>
              <w:right w:val="dashed" w:sz="4" w:space="0" w:color="auto"/>
            </w:tcBorders>
          </w:tcPr>
          <w:p w:rsidR="00E92225" w:rsidRDefault="00E92225">
            <w:pPr>
              <w:spacing w:after="0" w:line="240" w:lineRule="auto"/>
              <w:rPr>
                <w:rFonts w:cs="Calibri"/>
                <w:bCs/>
              </w:rPr>
            </w:pPr>
          </w:p>
        </w:tc>
        <w:tc>
          <w:tcPr>
            <w:tcW w:w="3733" w:type="dxa"/>
            <w:tcBorders>
              <w:top w:val="dashed" w:sz="4" w:space="0" w:color="auto"/>
              <w:left w:val="dashed" w:sz="4" w:space="0" w:color="auto"/>
              <w:bottom w:val="single" w:sz="4" w:space="0" w:color="000000"/>
              <w:right w:val="single" w:sz="4" w:space="0" w:color="000000"/>
            </w:tcBorders>
          </w:tcPr>
          <w:p w:rsidR="00E92225" w:rsidRDefault="00E92225">
            <w:pPr>
              <w:spacing w:after="0" w:line="240" w:lineRule="auto"/>
              <w:rPr>
                <w:rFonts w:cs="Calibri"/>
                <w:bCs/>
              </w:rPr>
            </w:pPr>
          </w:p>
        </w:tc>
      </w:tr>
      <w:tr w:rsidR="00E92225" w:rsidTr="00277D79">
        <w:trPr>
          <w:cantSplit/>
          <w:trHeight w:val="274"/>
        </w:trPr>
        <w:tc>
          <w:tcPr>
            <w:tcW w:w="2694" w:type="dxa"/>
            <w:gridSpan w:val="2"/>
            <w:vMerge w:val="restart"/>
            <w:tcBorders>
              <w:top w:val="single" w:sz="4" w:space="0" w:color="000000"/>
              <w:left w:val="single" w:sz="4" w:space="0" w:color="000000"/>
              <w:bottom w:val="single" w:sz="4" w:space="0" w:color="000000"/>
              <w:right w:val="single" w:sz="4" w:space="0" w:color="000000"/>
            </w:tcBorders>
            <w:hideMark/>
          </w:tcPr>
          <w:p w:rsidR="00E92225" w:rsidRDefault="00E92225">
            <w:pPr>
              <w:spacing w:after="0" w:line="240" w:lineRule="auto"/>
              <w:rPr>
                <w:rFonts w:cs="Calibri"/>
                <w:bCs/>
              </w:rPr>
            </w:pPr>
            <w:proofErr w:type="spellStart"/>
            <w:r>
              <w:rPr>
                <w:rFonts w:cs="Calibri"/>
                <w:bCs/>
              </w:rPr>
              <w:t>Other</w:t>
            </w:r>
            <w:proofErr w:type="spellEnd"/>
            <w:r>
              <w:rPr>
                <w:rFonts w:cs="Calibri"/>
                <w:bCs/>
              </w:rPr>
              <w:t xml:space="preserve"> sources </w:t>
            </w:r>
            <w:proofErr w:type="spellStart"/>
            <w:r>
              <w:rPr>
                <w:rFonts w:cs="Calibri"/>
                <w:bCs/>
              </w:rPr>
              <w:t>cited</w:t>
            </w:r>
            <w:proofErr w:type="spellEnd"/>
            <w:r>
              <w:rPr>
                <w:rFonts w:cs="Calibri"/>
                <w:bCs/>
              </w:rPr>
              <w:t xml:space="preserve"> (NGO reports </w:t>
            </w:r>
            <w:proofErr w:type="spellStart"/>
            <w:r>
              <w:rPr>
                <w:rFonts w:cs="Calibri"/>
                <w:bCs/>
              </w:rPr>
              <w:t>etc</w:t>
            </w:r>
            <w:proofErr w:type="spellEnd"/>
            <w:r>
              <w:rPr>
                <w:rFonts w:cs="Calibri"/>
                <w:bCs/>
              </w:rPr>
              <w:t xml:space="preserve">) </w:t>
            </w:r>
          </w:p>
        </w:tc>
        <w:tc>
          <w:tcPr>
            <w:tcW w:w="3037" w:type="dxa"/>
            <w:tcBorders>
              <w:top w:val="single" w:sz="4" w:space="0" w:color="000000"/>
              <w:left w:val="single" w:sz="4" w:space="0" w:color="000000"/>
              <w:bottom w:val="single" w:sz="4" w:space="0" w:color="000000"/>
              <w:right w:val="single" w:sz="4" w:space="0" w:color="000000"/>
            </w:tcBorders>
          </w:tcPr>
          <w:p w:rsidR="00E92225" w:rsidRDefault="00E92225">
            <w:pPr>
              <w:tabs>
                <w:tab w:val="left" w:pos="1575"/>
              </w:tabs>
              <w:spacing w:after="0" w:line="240" w:lineRule="auto"/>
              <w:rPr>
                <w:rFonts w:cs="Calibri"/>
                <w:bCs/>
                <w:i/>
                <w:iCs/>
              </w:rPr>
            </w:pPr>
            <w:proofErr w:type="spellStart"/>
            <w:r>
              <w:rPr>
                <w:rFonts w:cs="Calibri"/>
                <w:bCs/>
                <w:i/>
                <w:iCs/>
              </w:rPr>
              <w:t>Organization</w:t>
            </w:r>
            <w:proofErr w:type="spellEnd"/>
            <w:r>
              <w:rPr>
                <w:rFonts w:cs="Calibri"/>
                <w:bCs/>
                <w:i/>
                <w:iCs/>
              </w:rPr>
              <w:tab/>
            </w:r>
          </w:p>
          <w:p w:rsidR="00E92225" w:rsidRDefault="00E92225">
            <w:pPr>
              <w:tabs>
                <w:tab w:val="left" w:pos="1575"/>
              </w:tabs>
              <w:spacing w:after="0" w:line="240" w:lineRule="auto"/>
              <w:rPr>
                <w:rFonts w:cs="Calibri"/>
                <w:bCs/>
                <w:i/>
                <w:iCs/>
              </w:rPr>
            </w:pPr>
          </w:p>
        </w:tc>
        <w:tc>
          <w:tcPr>
            <w:tcW w:w="3733" w:type="dxa"/>
            <w:tcBorders>
              <w:top w:val="single" w:sz="4" w:space="0" w:color="000000"/>
              <w:left w:val="single" w:sz="4" w:space="0" w:color="000000"/>
              <w:bottom w:val="single" w:sz="4" w:space="0" w:color="000000"/>
              <w:right w:val="single" w:sz="4" w:space="0" w:color="000000"/>
            </w:tcBorders>
            <w:hideMark/>
          </w:tcPr>
          <w:p w:rsidR="00E92225" w:rsidRDefault="00E92225">
            <w:pPr>
              <w:spacing w:after="0" w:line="240" w:lineRule="auto"/>
              <w:rPr>
                <w:rFonts w:cs="Calibri"/>
                <w:bCs/>
                <w:i/>
                <w:iCs/>
              </w:rPr>
            </w:pPr>
            <w:r>
              <w:rPr>
                <w:rFonts w:cs="Calibri"/>
                <w:bCs/>
                <w:i/>
                <w:iCs/>
              </w:rPr>
              <w:t>Reference</w:t>
            </w:r>
          </w:p>
        </w:tc>
      </w:tr>
      <w:tr w:rsidR="00E92225" w:rsidTr="00277D79">
        <w:trPr>
          <w:cantSplit/>
          <w:trHeight w:val="278"/>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E92225" w:rsidRDefault="00E92225">
            <w:pPr>
              <w:spacing w:after="0" w:line="240" w:lineRule="auto"/>
              <w:rPr>
                <w:rFonts w:cs="Calibri"/>
                <w:bCs/>
              </w:rPr>
            </w:pPr>
          </w:p>
        </w:tc>
        <w:tc>
          <w:tcPr>
            <w:tcW w:w="3037" w:type="dxa"/>
            <w:tcBorders>
              <w:top w:val="single" w:sz="4" w:space="0" w:color="000000"/>
              <w:left w:val="single" w:sz="4" w:space="0" w:color="000000"/>
              <w:bottom w:val="dashed" w:sz="4" w:space="0" w:color="auto"/>
              <w:right w:val="dashed" w:sz="4" w:space="0" w:color="auto"/>
            </w:tcBorders>
          </w:tcPr>
          <w:p w:rsidR="00E92225" w:rsidRDefault="00E92225">
            <w:pPr>
              <w:spacing w:after="0" w:line="240" w:lineRule="auto"/>
              <w:rPr>
                <w:rFonts w:cs="Calibri"/>
                <w:bCs/>
              </w:rPr>
            </w:pPr>
          </w:p>
        </w:tc>
        <w:tc>
          <w:tcPr>
            <w:tcW w:w="3733" w:type="dxa"/>
            <w:tcBorders>
              <w:top w:val="single" w:sz="4" w:space="0" w:color="000000"/>
              <w:left w:val="dashed" w:sz="4" w:space="0" w:color="auto"/>
              <w:bottom w:val="dashed" w:sz="4" w:space="0" w:color="auto"/>
              <w:right w:val="single" w:sz="4" w:space="0" w:color="000000"/>
            </w:tcBorders>
          </w:tcPr>
          <w:p w:rsidR="00E92225" w:rsidRDefault="00E92225">
            <w:pPr>
              <w:spacing w:after="0" w:line="240" w:lineRule="auto"/>
              <w:rPr>
                <w:rFonts w:cs="Calibri"/>
                <w:bCs/>
              </w:rPr>
            </w:pPr>
          </w:p>
        </w:tc>
      </w:tr>
      <w:tr w:rsidR="00E92225" w:rsidTr="00277D79">
        <w:trPr>
          <w:cantSplit/>
          <w:trHeight w:val="282"/>
        </w:trPr>
        <w:tc>
          <w:tcPr>
            <w:tcW w:w="2694" w:type="dxa"/>
            <w:gridSpan w:val="2"/>
            <w:vMerge/>
            <w:tcBorders>
              <w:top w:val="single" w:sz="4" w:space="0" w:color="000000"/>
              <w:left w:val="single" w:sz="4" w:space="0" w:color="000000"/>
              <w:bottom w:val="single" w:sz="4" w:space="0" w:color="000000"/>
              <w:right w:val="single" w:sz="4" w:space="0" w:color="000000"/>
            </w:tcBorders>
            <w:vAlign w:val="center"/>
            <w:hideMark/>
          </w:tcPr>
          <w:p w:rsidR="00E92225" w:rsidRDefault="00E92225">
            <w:pPr>
              <w:spacing w:after="0" w:line="240" w:lineRule="auto"/>
              <w:rPr>
                <w:rFonts w:cs="Calibri"/>
                <w:bCs/>
              </w:rPr>
            </w:pPr>
          </w:p>
        </w:tc>
        <w:tc>
          <w:tcPr>
            <w:tcW w:w="3037" w:type="dxa"/>
            <w:tcBorders>
              <w:top w:val="dashed" w:sz="4" w:space="0" w:color="auto"/>
              <w:left w:val="single" w:sz="4" w:space="0" w:color="000000"/>
              <w:bottom w:val="single" w:sz="4" w:space="0" w:color="000000"/>
              <w:right w:val="dashed" w:sz="4" w:space="0" w:color="auto"/>
            </w:tcBorders>
          </w:tcPr>
          <w:p w:rsidR="00E92225" w:rsidRDefault="00E92225">
            <w:pPr>
              <w:spacing w:after="0" w:line="240" w:lineRule="auto"/>
              <w:rPr>
                <w:rFonts w:cs="Calibri"/>
                <w:b/>
              </w:rPr>
            </w:pPr>
          </w:p>
        </w:tc>
        <w:tc>
          <w:tcPr>
            <w:tcW w:w="3733" w:type="dxa"/>
            <w:tcBorders>
              <w:top w:val="dashed" w:sz="4" w:space="0" w:color="auto"/>
              <w:left w:val="dashed" w:sz="4" w:space="0" w:color="auto"/>
              <w:bottom w:val="single" w:sz="4" w:space="0" w:color="000000"/>
              <w:right w:val="single" w:sz="4" w:space="0" w:color="000000"/>
            </w:tcBorders>
          </w:tcPr>
          <w:p w:rsidR="00E92225" w:rsidRDefault="00E92225">
            <w:pPr>
              <w:spacing w:after="0" w:line="240" w:lineRule="auto"/>
              <w:rPr>
                <w:rFonts w:cs="Calibri"/>
                <w:b/>
              </w:rPr>
            </w:pPr>
          </w:p>
        </w:tc>
      </w:tr>
      <w:tr w:rsidR="00E92225" w:rsidTr="00277D79">
        <w:tc>
          <w:tcPr>
            <w:tcW w:w="2694" w:type="dxa"/>
            <w:gridSpan w:val="2"/>
            <w:tcBorders>
              <w:top w:val="single" w:sz="4" w:space="0" w:color="000000"/>
              <w:left w:val="single" w:sz="4" w:space="0" w:color="000000"/>
              <w:bottom w:val="single" w:sz="4" w:space="0" w:color="000000"/>
              <w:right w:val="single" w:sz="4" w:space="0" w:color="000000"/>
            </w:tcBorders>
          </w:tcPr>
          <w:p w:rsidR="00E92225" w:rsidRDefault="00E92225">
            <w:pPr>
              <w:spacing w:after="0" w:line="240" w:lineRule="auto"/>
              <w:rPr>
                <w:rFonts w:cs="Calibri"/>
              </w:rPr>
            </w:pPr>
            <w:r>
              <w:rPr>
                <w:rFonts w:cs="Calibri"/>
              </w:rPr>
              <w:t>Observations/</w:t>
            </w:r>
            <w:proofErr w:type="spellStart"/>
            <w:r>
              <w:rPr>
                <w:rFonts w:cs="Calibri"/>
              </w:rPr>
              <w:t>Comments</w:t>
            </w:r>
            <w:proofErr w:type="spellEnd"/>
          </w:p>
          <w:p w:rsidR="00E92225" w:rsidRDefault="00E92225">
            <w:pPr>
              <w:spacing w:after="0" w:line="240" w:lineRule="auto"/>
              <w:rPr>
                <w:rFonts w:cs="Calibri"/>
              </w:rPr>
            </w:pPr>
          </w:p>
        </w:tc>
        <w:tc>
          <w:tcPr>
            <w:tcW w:w="6770" w:type="dxa"/>
            <w:gridSpan w:val="2"/>
            <w:tcBorders>
              <w:top w:val="single" w:sz="4" w:space="0" w:color="000000"/>
              <w:left w:val="single" w:sz="4" w:space="0" w:color="000000"/>
              <w:bottom w:val="single" w:sz="4" w:space="0" w:color="000000"/>
              <w:right w:val="single" w:sz="4" w:space="0" w:color="000000"/>
            </w:tcBorders>
          </w:tcPr>
          <w:p w:rsidR="00E92225" w:rsidRPr="00156F72" w:rsidRDefault="00E92225" w:rsidP="00E92225">
            <w:pPr>
              <w:snapToGrid w:val="0"/>
              <w:spacing w:after="0" w:line="100" w:lineRule="atLeast"/>
              <w:jc w:val="both"/>
              <w:rPr>
                <w:rFonts w:cs="Calibri"/>
                <w:b/>
                <w:lang w:val="en-GB"/>
              </w:rPr>
            </w:pPr>
            <w:r w:rsidRPr="00156F72">
              <w:rPr>
                <w:rFonts w:cs="Calibri"/>
                <w:b/>
                <w:lang w:val="en-GB"/>
              </w:rPr>
              <w:t>Concerning the expression “worth being protected” regarding the family life it needs to be explained that this also a legal expression. § 10 (2) (2) Asylum Law says that in the assessment of a violation of Art 8 ECHR the following points have to be taken into consideration:</w:t>
            </w:r>
          </w:p>
          <w:p w:rsidR="00E92225" w:rsidRPr="00156F72" w:rsidRDefault="00E92225" w:rsidP="00E92225">
            <w:pPr>
              <w:pStyle w:val="ListParagraph"/>
              <w:numPr>
                <w:ilvl w:val="0"/>
                <w:numId w:val="1"/>
              </w:numPr>
              <w:spacing w:after="0" w:line="100" w:lineRule="atLeast"/>
              <w:jc w:val="both"/>
              <w:rPr>
                <w:rFonts w:cs="Calibri"/>
                <w:b/>
                <w:lang w:val="en-GB"/>
              </w:rPr>
            </w:pPr>
            <w:r w:rsidRPr="00156F72">
              <w:rPr>
                <w:rFonts w:cs="Calibri"/>
                <w:b/>
                <w:lang w:val="en-GB"/>
              </w:rPr>
              <w:t>duration and legal title of the stay in Austria</w:t>
            </w:r>
          </w:p>
          <w:p w:rsidR="00E92225" w:rsidRPr="00156F72" w:rsidRDefault="00E92225" w:rsidP="00E92225">
            <w:pPr>
              <w:pStyle w:val="ListParagraph"/>
              <w:numPr>
                <w:ilvl w:val="0"/>
                <w:numId w:val="1"/>
              </w:numPr>
              <w:spacing w:after="0" w:line="100" w:lineRule="atLeast"/>
              <w:jc w:val="both"/>
              <w:rPr>
                <w:rFonts w:cs="Calibri"/>
                <w:b/>
                <w:lang w:val="en-GB"/>
              </w:rPr>
            </w:pPr>
            <w:r w:rsidRPr="00156F72">
              <w:rPr>
                <w:rFonts w:cs="Calibri"/>
                <w:b/>
                <w:lang w:val="en-GB"/>
              </w:rPr>
              <w:t>de facto existence of a family life</w:t>
            </w:r>
          </w:p>
          <w:p w:rsidR="00E92225" w:rsidRPr="00156F72" w:rsidRDefault="00E92225" w:rsidP="00E92225">
            <w:pPr>
              <w:pStyle w:val="ListParagraph"/>
              <w:numPr>
                <w:ilvl w:val="0"/>
                <w:numId w:val="1"/>
              </w:numPr>
              <w:spacing w:after="0" w:line="100" w:lineRule="atLeast"/>
              <w:jc w:val="both"/>
              <w:rPr>
                <w:rFonts w:cs="Calibri"/>
                <w:b/>
                <w:lang w:val="en-GB"/>
              </w:rPr>
            </w:pPr>
            <w:r w:rsidRPr="00156F72">
              <w:rPr>
                <w:rFonts w:cs="Calibri"/>
                <w:b/>
                <w:lang w:val="en-GB"/>
              </w:rPr>
              <w:t>whether the private life is worth being protected</w:t>
            </w:r>
          </w:p>
          <w:p w:rsidR="00E92225" w:rsidRPr="00156F72" w:rsidRDefault="00E92225" w:rsidP="00E92225">
            <w:pPr>
              <w:pStyle w:val="ListParagraph"/>
              <w:numPr>
                <w:ilvl w:val="0"/>
                <w:numId w:val="1"/>
              </w:numPr>
              <w:spacing w:after="0" w:line="100" w:lineRule="atLeast"/>
              <w:jc w:val="both"/>
              <w:rPr>
                <w:rFonts w:cs="Calibri"/>
                <w:b/>
                <w:lang w:val="en-GB"/>
              </w:rPr>
            </w:pPr>
            <w:r w:rsidRPr="00156F72">
              <w:rPr>
                <w:rFonts w:cs="Calibri"/>
                <w:b/>
                <w:lang w:val="en-GB"/>
              </w:rPr>
              <w:t>dimension of integration</w:t>
            </w:r>
          </w:p>
          <w:p w:rsidR="00E92225" w:rsidRPr="00156F72" w:rsidRDefault="00E92225" w:rsidP="00E92225">
            <w:pPr>
              <w:pStyle w:val="ListParagraph"/>
              <w:numPr>
                <w:ilvl w:val="0"/>
                <w:numId w:val="1"/>
              </w:numPr>
              <w:spacing w:after="0" w:line="100" w:lineRule="atLeast"/>
              <w:jc w:val="both"/>
              <w:rPr>
                <w:rFonts w:cs="Calibri"/>
                <w:b/>
                <w:lang w:val="en-GB"/>
              </w:rPr>
            </w:pPr>
            <w:r w:rsidRPr="00156F72">
              <w:rPr>
                <w:rFonts w:cs="Calibri"/>
                <w:b/>
                <w:lang w:val="en-GB"/>
              </w:rPr>
              <w:t>bindings to the country of origin</w:t>
            </w:r>
          </w:p>
          <w:p w:rsidR="00E92225" w:rsidRPr="00156F72" w:rsidRDefault="00E92225" w:rsidP="00E92225">
            <w:pPr>
              <w:pStyle w:val="ListParagraph"/>
              <w:numPr>
                <w:ilvl w:val="0"/>
                <w:numId w:val="1"/>
              </w:numPr>
              <w:spacing w:after="0" w:line="100" w:lineRule="atLeast"/>
              <w:jc w:val="both"/>
              <w:rPr>
                <w:rFonts w:cs="Calibri"/>
                <w:b/>
                <w:lang w:val="en-GB"/>
              </w:rPr>
            </w:pPr>
            <w:r w:rsidRPr="00156F72">
              <w:rPr>
                <w:rFonts w:cs="Calibri"/>
                <w:b/>
                <w:lang w:val="en-GB"/>
              </w:rPr>
              <w:t>criminal convictions</w:t>
            </w:r>
          </w:p>
          <w:p w:rsidR="00E92225" w:rsidRPr="00156F72" w:rsidRDefault="00E92225" w:rsidP="00E92225">
            <w:pPr>
              <w:pStyle w:val="ListParagraph"/>
              <w:numPr>
                <w:ilvl w:val="0"/>
                <w:numId w:val="1"/>
              </w:numPr>
              <w:spacing w:after="0" w:line="100" w:lineRule="atLeast"/>
              <w:jc w:val="both"/>
              <w:rPr>
                <w:rFonts w:cs="Calibri"/>
                <w:b/>
                <w:lang w:val="en-GB"/>
              </w:rPr>
            </w:pPr>
            <w:r w:rsidRPr="00156F72">
              <w:rPr>
                <w:rFonts w:cs="Calibri"/>
                <w:b/>
                <w:lang w:val="en-GB"/>
              </w:rPr>
              <w:t>violations of the public order, especially regarding asylum and immigration law</w:t>
            </w:r>
          </w:p>
          <w:p w:rsidR="00E92225" w:rsidRPr="00156F72" w:rsidRDefault="00E92225" w:rsidP="00E92225">
            <w:pPr>
              <w:pStyle w:val="ListParagraph"/>
              <w:numPr>
                <w:ilvl w:val="0"/>
                <w:numId w:val="1"/>
              </w:numPr>
              <w:spacing w:after="0" w:line="100" w:lineRule="atLeast"/>
              <w:jc w:val="both"/>
              <w:rPr>
                <w:rFonts w:cs="Calibri"/>
                <w:b/>
                <w:lang w:val="en-GB"/>
              </w:rPr>
            </w:pPr>
            <w:r w:rsidRPr="00156F72">
              <w:rPr>
                <w:rFonts w:cs="Calibri"/>
                <w:b/>
                <w:lang w:val="en-GB"/>
              </w:rPr>
              <w:t>whether the family was founded at a point in time, when they were aware of the fact that they might not be able to maintain their life as a family</w:t>
            </w:r>
          </w:p>
          <w:p w:rsidR="00E92225" w:rsidRPr="00156F72" w:rsidRDefault="00E92225" w:rsidP="00E92225">
            <w:pPr>
              <w:pStyle w:val="ListParagraph"/>
              <w:numPr>
                <w:ilvl w:val="0"/>
                <w:numId w:val="1"/>
              </w:numPr>
              <w:spacing w:after="0" w:line="100" w:lineRule="atLeast"/>
              <w:jc w:val="both"/>
              <w:rPr>
                <w:rFonts w:cs="Calibri"/>
                <w:b/>
                <w:lang w:val="en-GB"/>
              </w:rPr>
            </w:pPr>
            <w:proofErr w:type="gramStart"/>
            <w:r w:rsidRPr="00156F72">
              <w:rPr>
                <w:rFonts w:cs="Calibri"/>
                <w:b/>
                <w:lang w:val="en-GB"/>
              </w:rPr>
              <w:t>whether</w:t>
            </w:r>
            <w:proofErr w:type="gramEnd"/>
            <w:r w:rsidRPr="00156F72">
              <w:rPr>
                <w:rFonts w:cs="Calibri"/>
                <w:b/>
                <w:lang w:val="en-GB"/>
              </w:rPr>
              <w:t xml:space="preserve"> the long duration of the procedure was caused by the authorities.</w:t>
            </w:r>
          </w:p>
          <w:p w:rsidR="00E92225" w:rsidRPr="00156F72" w:rsidRDefault="00E92225" w:rsidP="00E92225">
            <w:pPr>
              <w:spacing w:after="0" w:line="100" w:lineRule="atLeast"/>
              <w:jc w:val="both"/>
              <w:rPr>
                <w:rFonts w:cs="Calibri"/>
                <w:b/>
                <w:lang w:val="en-GB"/>
              </w:rPr>
            </w:pPr>
            <w:r w:rsidRPr="00156F72">
              <w:rPr>
                <w:rFonts w:cs="Calibri"/>
                <w:b/>
                <w:lang w:val="en-GB"/>
              </w:rPr>
              <w:t xml:space="preserve">These criteria are based on decisions of ECHR concerning Art 8 ECHR and </w:t>
            </w:r>
            <w:r w:rsidRPr="00156F72">
              <w:rPr>
                <w:rFonts w:cs="Calibri"/>
                <w:b/>
                <w:lang w:val="en-US"/>
              </w:rPr>
              <w:t xml:space="preserve">the </w:t>
            </w:r>
            <w:r w:rsidRPr="00156F72">
              <w:rPr>
                <w:rFonts w:cs="Calibri"/>
                <w:b/>
                <w:lang w:val="en-GB"/>
              </w:rPr>
              <w:t xml:space="preserve">Austrian </w:t>
            </w:r>
            <w:r w:rsidRPr="00156F72">
              <w:rPr>
                <w:rFonts w:cs="Calibri"/>
                <w:b/>
                <w:lang w:val="en-US"/>
              </w:rPr>
              <w:t>Constitutional</w:t>
            </w:r>
            <w:r w:rsidRPr="00156F72">
              <w:rPr>
                <w:rFonts w:cs="Calibri"/>
                <w:b/>
                <w:lang w:val="en-GB"/>
              </w:rPr>
              <w:t xml:space="preserve"> Court (</w:t>
            </w:r>
            <w:proofErr w:type="spellStart"/>
            <w:r w:rsidRPr="00156F72">
              <w:rPr>
                <w:rFonts w:cs="Calibri"/>
                <w:b/>
                <w:lang w:val="en-GB"/>
              </w:rPr>
              <w:t>VfGH</w:t>
            </w:r>
            <w:proofErr w:type="spellEnd"/>
            <w:r w:rsidRPr="00156F72">
              <w:rPr>
                <w:rFonts w:cs="Calibri"/>
                <w:b/>
                <w:lang w:val="en-GB"/>
              </w:rPr>
              <w:t xml:space="preserve"> 29.09.2007, B328/07 and B1150/07-9).</w:t>
            </w:r>
          </w:p>
          <w:p w:rsidR="00E92225" w:rsidRDefault="00E92225" w:rsidP="00277D79">
            <w:pPr>
              <w:spacing w:after="0" w:line="240" w:lineRule="auto"/>
              <w:jc w:val="both"/>
              <w:rPr>
                <w:rFonts w:cs="Calibri"/>
                <w:b/>
              </w:rPr>
            </w:pPr>
            <w:r w:rsidRPr="00156F72">
              <w:rPr>
                <w:rFonts w:cs="Calibri"/>
                <w:b/>
                <w:lang w:val="en-GB"/>
              </w:rPr>
              <w:t>Whether the family life is “worth being protected” naturally also includes a certain subjective judgement by the deciding judge.</w:t>
            </w:r>
          </w:p>
        </w:tc>
      </w:tr>
    </w:tbl>
    <w:p w:rsidR="00996C36" w:rsidRDefault="00996C36" w:rsidP="00996C36">
      <w:pPr>
        <w:spacing w:after="0" w:line="240" w:lineRule="auto"/>
        <w:rPr>
          <w:rFonts w:cs="Calibri"/>
        </w:rPr>
      </w:pPr>
    </w:p>
    <w:p w:rsidR="007B31A6" w:rsidRDefault="007B31A6"/>
    <w:sectPr w:rsidR="007B31A6" w:rsidSect="007B31A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6C36" w:rsidRDefault="00996C36" w:rsidP="00996C36">
      <w:pPr>
        <w:spacing w:after="0" w:line="240" w:lineRule="auto"/>
      </w:pPr>
      <w:r>
        <w:separator/>
      </w:r>
    </w:p>
  </w:endnote>
  <w:endnote w:type="continuationSeparator" w:id="0">
    <w:p w:rsidR="00996C36" w:rsidRDefault="00996C36" w:rsidP="00996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6C36" w:rsidRDefault="00996C36" w:rsidP="00996C36">
      <w:pPr>
        <w:spacing w:after="0" w:line="240" w:lineRule="auto"/>
      </w:pPr>
      <w:r>
        <w:separator/>
      </w:r>
    </w:p>
  </w:footnote>
  <w:footnote w:type="continuationSeparator" w:id="0">
    <w:p w:rsidR="00996C36" w:rsidRDefault="00996C36" w:rsidP="00996C3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Calibri" w:hAnsi="Calibri" w:cs="Calibri"/>
      </w:rPr>
    </w:lvl>
    <w:lvl w:ilvl="1">
      <w:start w:val="1"/>
      <w:numFmt w:val="bullet"/>
      <w:lvlText w:val="o"/>
      <w:lvlJc w:val="left"/>
      <w:pPr>
        <w:tabs>
          <w:tab w:val="num" w:pos="1080"/>
        </w:tabs>
        <w:ind w:left="1080" w:hanging="360"/>
      </w:pPr>
      <w:rPr>
        <w:rFonts w:ascii="Courier New" w:hAnsi="Courier New" w:cs="Courier New"/>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Symbol" w:hAnsi="Symbol"/>
      </w:rPr>
    </w:lvl>
    <w:lvl w:ilvl="4">
      <w:start w:val="1"/>
      <w:numFmt w:val="bullet"/>
      <w:lvlText w:val="o"/>
      <w:lvlJc w:val="left"/>
      <w:pPr>
        <w:tabs>
          <w:tab w:val="num" w:pos="2160"/>
        </w:tabs>
        <w:ind w:left="2160" w:hanging="360"/>
      </w:pPr>
      <w:rPr>
        <w:rFonts w:ascii="Courier New" w:hAnsi="Courier New" w:cs="Courier New"/>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Symbol" w:hAnsi="Symbol"/>
      </w:rPr>
    </w:lvl>
    <w:lvl w:ilvl="7">
      <w:start w:val="1"/>
      <w:numFmt w:val="bullet"/>
      <w:lvlText w:val="o"/>
      <w:lvlJc w:val="left"/>
      <w:pPr>
        <w:tabs>
          <w:tab w:val="num" w:pos="3240"/>
        </w:tabs>
        <w:ind w:left="3240" w:hanging="360"/>
      </w:pPr>
      <w:rPr>
        <w:rFonts w:ascii="Courier New" w:hAnsi="Courier New" w:cs="Courier New"/>
      </w:rPr>
    </w:lvl>
    <w:lvl w:ilvl="8">
      <w:start w:val="1"/>
      <w:numFmt w:val="bullet"/>
      <w:lvlText w:val=""/>
      <w:lvlJc w:val="left"/>
      <w:pPr>
        <w:tabs>
          <w:tab w:val="num" w:pos="3600"/>
        </w:tabs>
        <w:ind w:left="3600" w:hanging="360"/>
      </w:pPr>
      <w:rPr>
        <w:rFonts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C36"/>
    <w:rsid w:val="00074073"/>
    <w:rsid w:val="00132795"/>
    <w:rsid w:val="00230ADF"/>
    <w:rsid w:val="00277D79"/>
    <w:rsid w:val="002E7524"/>
    <w:rsid w:val="004A0E3D"/>
    <w:rsid w:val="005125CA"/>
    <w:rsid w:val="00541251"/>
    <w:rsid w:val="007B31A6"/>
    <w:rsid w:val="0083197B"/>
    <w:rsid w:val="00996C36"/>
    <w:rsid w:val="00AB7286"/>
    <w:rsid w:val="00CF45CA"/>
    <w:rsid w:val="00D72A0C"/>
    <w:rsid w:val="00E465FA"/>
    <w:rsid w:val="00E72177"/>
    <w:rsid w:val="00E92225"/>
    <w:rsid w:val="00EB5A24"/>
    <w:rsid w:val="00EF4E2F"/>
    <w:rsid w:val="00F6113B"/>
    <w:rsid w:val="00F6129E"/>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 w:type="paragraph" w:styleId="ListParagraph">
    <w:name w:val="List Paragraph"/>
    <w:basedOn w:val="Normal"/>
    <w:qFormat/>
    <w:rsid w:val="00E92225"/>
    <w:pPr>
      <w:suppressAutoHyphens/>
      <w:ind w:left="720"/>
    </w:pPr>
    <w:rPr>
      <w:kern w:val="1"/>
      <w:lang w:eastAsia="ar-S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C36"/>
    <w:rPr>
      <w:rFonts w:ascii="Calibri" w:eastAsia="Calibri" w:hAnsi="Calibri" w:cs="Arial"/>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996C36"/>
    <w:rPr>
      <w:sz w:val="20"/>
      <w:szCs w:val="20"/>
    </w:rPr>
  </w:style>
  <w:style w:type="character" w:customStyle="1" w:styleId="FootnoteTextChar">
    <w:name w:val="Footnote Text Char"/>
    <w:basedOn w:val="DefaultParagraphFont"/>
    <w:link w:val="FootnoteText"/>
    <w:uiPriority w:val="99"/>
    <w:semiHidden/>
    <w:rsid w:val="00996C36"/>
    <w:rPr>
      <w:rFonts w:ascii="Calibri" w:eastAsia="Calibri" w:hAnsi="Calibri" w:cs="Arial"/>
      <w:sz w:val="20"/>
      <w:szCs w:val="20"/>
      <w:lang w:val="fr-FR"/>
    </w:rPr>
  </w:style>
  <w:style w:type="paragraph" w:styleId="CommentText">
    <w:name w:val="annotation text"/>
    <w:basedOn w:val="Normal"/>
    <w:link w:val="CommentTextChar"/>
    <w:uiPriority w:val="99"/>
    <w:semiHidden/>
    <w:unhideWhenUsed/>
    <w:rsid w:val="00996C36"/>
    <w:pPr>
      <w:spacing w:line="240" w:lineRule="auto"/>
    </w:pPr>
    <w:rPr>
      <w:rFonts w:cs="Times New Roman"/>
      <w:sz w:val="20"/>
      <w:szCs w:val="20"/>
      <w:lang w:val="en-IE"/>
    </w:rPr>
  </w:style>
  <w:style w:type="character" w:customStyle="1" w:styleId="CommentTextChar">
    <w:name w:val="Comment Text Char"/>
    <w:basedOn w:val="DefaultParagraphFont"/>
    <w:link w:val="CommentText"/>
    <w:uiPriority w:val="99"/>
    <w:semiHidden/>
    <w:rsid w:val="00996C36"/>
    <w:rPr>
      <w:rFonts w:ascii="Calibri" w:eastAsia="Calibri" w:hAnsi="Calibri" w:cs="Times New Roman"/>
      <w:sz w:val="20"/>
      <w:szCs w:val="20"/>
      <w:lang w:val="en-IE"/>
    </w:rPr>
  </w:style>
  <w:style w:type="character" w:styleId="FootnoteReference">
    <w:name w:val="footnote reference"/>
    <w:basedOn w:val="DefaultParagraphFont"/>
    <w:uiPriority w:val="99"/>
    <w:semiHidden/>
    <w:unhideWhenUsed/>
    <w:rsid w:val="00996C36"/>
    <w:rPr>
      <w:rFonts w:ascii="Times New Roman" w:hAnsi="Times New Roman" w:cs="Times New Roman" w:hint="default"/>
      <w:vertAlign w:val="superscript"/>
    </w:rPr>
  </w:style>
  <w:style w:type="paragraph" w:styleId="ListParagraph">
    <w:name w:val="List Paragraph"/>
    <w:basedOn w:val="Normal"/>
    <w:qFormat/>
    <w:rsid w:val="00E92225"/>
    <w:pPr>
      <w:suppressAutoHyphens/>
      <w:ind w:left="720"/>
    </w:pPr>
    <w:rPr>
      <w:kern w:val="1"/>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1802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724</Words>
  <Characters>4129</Characters>
  <Application>Microsoft Macintosh Word</Application>
  <DocSecurity>0</DocSecurity>
  <Lines>34</Lines>
  <Paragraphs>9</Paragraphs>
  <ScaleCrop>false</ScaleCrop>
  <Company>TU Wien - Campusversion</Company>
  <LinksUpToDate>false</LinksUpToDate>
  <CharactersWithSpaces>4844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Seb</dc:creator>
  <cp:lastModifiedBy>Kajsa Berg</cp:lastModifiedBy>
  <cp:revision>2</cp:revision>
  <dcterms:created xsi:type="dcterms:W3CDTF">2013-09-02T14:11:00Z</dcterms:created>
  <dcterms:modified xsi:type="dcterms:W3CDTF">2013-09-02T14:11:00Z</dcterms:modified>
</cp:coreProperties>
</file>