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Sygn.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 </w:t>
      </w: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akt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 II AKa 59/16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i/>
          <w:iCs/>
          <w:color w:val="682140"/>
          <w:sz w:val="27"/>
          <w:szCs w:val="27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682140"/>
          <w:sz w:val="27"/>
          <w:szCs w:val="27"/>
          <w:lang w:eastAsia="en-GB"/>
        </w:rPr>
        <w:t>WYROK</w:t>
      </w:r>
    </w:p>
    <w:p w:rsidR="00663C5D" w:rsidRPr="00663C5D" w:rsidRDefault="00663C5D" w:rsidP="00663C5D">
      <w:pPr>
        <w:shd w:val="clear" w:color="auto" w:fill="F8F7F4"/>
        <w:spacing w:before="180" w:after="180" w:line="360" w:lineRule="atLeast"/>
        <w:jc w:val="center"/>
        <w:outlineLvl w:val="4"/>
        <w:rPr>
          <w:rFonts w:ascii="Verdana" w:eastAsia="Times New Roman" w:hAnsi="Verdana" w:cs="Times New Roman"/>
          <w:caps/>
          <w:color w:val="222222"/>
          <w:sz w:val="27"/>
          <w:szCs w:val="27"/>
          <w:lang w:eastAsia="en-GB"/>
        </w:rPr>
      </w:pPr>
      <w:r w:rsidRPr="00663C5D">
        <w:rPr>
          <w:rFonts w:ascii="Verdana" w:eastAsia="Times New Roman" w:hAnsi="Verdana" w:cs="Times New Roman"/>
          <w:caps/>
          <w:color w:val="222222"/>
          <w:sz w:val="27"/>
          <w:szCs w:val="27"/>
          <w:lang w:eastAsia="en-GB"/>
        </w:rPr>
        <w:t>W IMIENIU RZECZYPOSPOLITEJ POLSKIEJ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Dnia 22 czerwca 2016r.</w:t>
      </w:r>
      <w:proofErr w:type="gramEnd"/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Sąd Apelacyjny w Warszawie II Wydział Karny w składzie: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Przewodniczący: SSA – Grzegorz Salamon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Sędziowie: SA – Ewa Plawgo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val="fr-BE" w:eastAsia="en-GB"/>
        </w:rPr>
      </w:pPr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val="fr-BE" w:eastAsia="en-GB"/>
        </w:rPr>
        <w:t>SA – Maria Żłobińska (spr.)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val="fr-BE" w:eastAsia="en-GB"/>
        </w:rPr>
        <w:t xml:space="preserve">Protokolant: – sekr. sąd. </w:t>
      </w:r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Piotr Grodecki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przy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 udziale Prokuratora Anny Adamiak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po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 rozpoznaniu w dniu 22 czerwca 2016 r.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sprawy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 S. C., Z. C. i F. C.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o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 zadośćuczynienie za doznaną krzywdę wynikłą z niewątpliwie niesłusznego umieszczenia w strzeżonym ośrodku dla cudzoziemców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 skutek apelacji, wniesionej przez pełnomocnika wnioskodawców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od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 wyroku Sądu Okręgowego w Warszawie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z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 dnia 22 października 2015 r. sygn. </w:t>
      </w: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akt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 VIII Ko 53/14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1.  </w:t>
      </w: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zmienia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 wyrok w zaskarżonej części w ten sposób, że ponad zasądzone kwoty zadośćuczynień zasądza na rzecz: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- S. C. kwotę 9.000 (dziewięciu tysięcy) </w:t>
      </w: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zł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; - Z. C. i F. C. kwoty po 14.000 (czternaście tysięcy) zł;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2.  </w:t>
      </w: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utrzymuje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 w mocy tenże wyrok w pozostałej zaskarżonej części wobec wszystkich wnioskodawców;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3.  </w:t>
      </w: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koszty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 procesu w postępowaniu odwoławczym ponosi Skarb Państwa;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Sygn.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 </w:t>
      </w: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akt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 II AKa 59/16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i/>
          <w:iCs/>
          <w:color w:val="682140"/>
          <w:sz w:val="27"/>
          <w:szCs w:val="27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682140"/>
          <w:sz w:val="27"/>
          <w:szCs w:val="27"/>
          <w:lang w:eastAsia="en-GB"/>
        </w:rPr>
        <w:t>UZASADNIENIE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Zaskarżonym wyrokiem z dnia 22 października 2015 r. Sąd Okręgowy w Warszawie zasądził na rzecz wnioskodawców </w:t>
      </w:r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S. C., Z. C. i F. C. </w:t>
      </w: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kwoty po 1000 złotych z ustawowymi odsetkami tytułem zadośćuczynienia za krzywdę wynikłą z niewątpliwie niesłusznego umieszczenia w strzeżonym ośrodku dla cudzoziemców; w pozostałym zakresie wnioski o zadośćuczynienie w kwocie po 35.000 złotych dla każdego wnioskodawcy zostały oddalone.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lastRenderedPageBreak/>
        <w:t>Od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tego wyroku wniósł apelację pełnomocnik wnioskodawców, zaskarżając wyrok w części oddalającej wnioski.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Pełnomocnik zarzucił: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1.  Na podstawie </w:t>
      </w:r>
      <w:hyperlink r:id="rId5" w:tooltip="Ustawa z dnia 6 czerwca 1997 r. - Kodeks postępowania karnego - Dz. U. z 1997 r. Nr 89, poz. 555 (art. 438;art. 438 pkt. 2)" w:history="1"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>art. 438 pkt 2) k.p.k.</w:t>
        </w:r>
      </w:hyperlink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 naruszenie przepisów postępowania mające wpływ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treść wyroku tj. - </w:t>
      </w:r>
      <w:hyperlink r:id="rId6" w:tooltip="Ustawa z dnia 6 czerwca 1997 r. - Kodeks postępowania karnego - Dz. U. z 1997 r. Nr 89, poz. 555 (art. 7)" w:history="1">
        <w:proofErr w:type="gramStart"/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>art</w:t>
        </w:r>
        <w:proofErr w:type="gramEnd"/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>. 7 k.p.k.</w:t>
        </w:r>
      </w:hyperlink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 poprzez: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-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dokonanie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dowolnej, a nie swobodnej oceny dowodów z opinii i przesłuchania biegłych L. B. i A. M., poprzez błędne uznanie, iż z dowodów tych wynika, że na zły stan zdrowia psychicznego wnioskodawczyni S. C. wpływ miały przede wszystkim inne czynniki niż pobyt w strzeżonym ośrodku,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- dokonanie dowolnej a nie swobodnej oceny dowodów z opinii i przesłuchania biegłych M. A. i A. G., poprzez odmówienie im mocy dowodowej w następstwie bezzasadnego stwierdzenia, iż biegli nie wzięli pod uwagę wpływu na zdrowie psychiczne wnioskodawców Z. C. i F. C. innych czynników niż pobyt w strzeżonym ośrodku, pomimo iż zgodnie z postanowieniem Sądu opinia miał dotyczyć właśnie wpływu pobytu w strzeżonym ośrodku na zdrowie psychiczne wnioskodawców,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- </w:t>
      </w:r>
      <w:hyperlink r:id="rId7" w:tooltip="Ustawa z dnia 6 czerwca 1997 r. - Kodeks postępowania karnego - Dz. U. z 1997 r. Nr 89, poz. 555 (art. 410)" w:history="1">
        <w:proofErr w:type="gramStart"/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>art</w:t>
        </w:r>
        <w:proofErr w:type="gramEnd"/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 xml:space="preserve">. </w:t>
        </w:r>
        <w:proofErr w:type="gramStart"/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>410 k.p.k.</w:t>
        </w:r>
      </w:hyperlink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 poprzez niewzięcie pod uwagę całości zgromadzonego materiału dowodowego tj.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zeznań wnioskodawczyni S. C. i świadka E. P., zawierających informacje dotyczące istotnych okoliczności pobytu wnioskodawców w S. (...) w P. oraz wpływu pobytu na ich dalsze życie, przez co Sąd Okręgowy dokonał błędnych ustaleń faktycznych co do krzywdy spowodowanej przez pobyt wnioskodawców w strzeżonym ośrodku dla cudzoziemców.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2. Na podstawie </w:t>
      </w:r>
      <w:hyperlink r:id="rId8" w:tooltip="Ustawa z dnia 6 czerwca 1997 r. - Kodeks postępowania karnego - Dz. U. z 1997 r. Nr 89, poz. 555 (art. 438;art. 438 pkt. 3)" w:history="1"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>art. 438 pkt 3) k.p.k.</w:t>
        </w:r>
      </w:hyperlink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 błędy w ustaleniach faktycznych mające wpływ na treść wyroku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tj.:</w:t>
      </w:r>
      <w:proofErr w:type="gramEnd"/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-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błędne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ustalenie, że wpływ na stan psychiczny wnioskodawców Z. C. i F. C. miały przede wszystkim inne czynniki, takie jak m.in.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samo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doświadczenie migracji, nie zaś pobyt w S. (...) w P., gdyż ustalenia tego Sąd Okręgowy dokonał w oparciu o opinię i przesłuchanie biegłych, którzy nie przeprowadzili badania ww.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wnioskodawców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, natomiast nie wziął pod uwagę co do tej okoliczności zeznań wnioskodawczyni S. C. oraz odmówił mocy dowodowej opinii biegłych, którzy przeprowadzili badania jej dzieci,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- błędne ustalenie, że warunki panujące w S. (...) w P. stanowiły nieznacznie obostrzony rygor w porównaniu z otwartym ośrodkiem, pomimo, iż pobyt w strzeżonym ośrodku stanowi pozbawienie wolności i oznacza pobyt w pomieszczeniu otoczonym murem z drutem kolczastym i kratami w oknach, obowiązkiem przekazania do depozytu dokumentów tożsamości, przeprowadzaniem kontroli w pokojach mieszkalnych, udziałem w apelu porannym i wieczornym, możliwością spotykania się z osobami z zewnątrz jedynie w godzinach widzeń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3. Na podstawie </w:t>
      </w:r>
      <w:hyperlink r:id="rId9" w:tooltip="Ustawa z dnia 6 czerwca 1997 r. - Kodeks postępowania karnego - Dz. U. z 1997 r. Nr 89, poz. 555 (art. 438;art. 438 pkt. 1)" w:history="1"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>art. 438 pkt 1) k.p.k.</w:t>
        </w:r>
      </w:hyperlink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 naruszenie przepisów prawa materialnego: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-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art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.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407 ust.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1 i 2 ustawy o cudzoziemcach w zw.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z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 </w:t>
      </w:r>
      <w:hyperlink r:id="rId10" w:tooltip="Ustawa z dnia 6 czerwca 1997 r. - Kodeks postępowania karnego - Dz. U. z 1997 r. Nr 89, poz. 555 (art. 552 a;art. 552 a § 1)" w:history="1"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 xml:space="preserve">art. </w:t>
        </w:r>
        <w:proofErr w:type="gramStart"/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>552a § 1 k.p.k.</w:t>
        </w:r>
      </w:hyperlink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 oraz w zw.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z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art.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3 ust.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1 oraz art.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37 lit. b) Konwencji ONZ o prawach dziecka i art.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5 ust.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5 Konwencji o ochronie praw człowieka i podstawowych wolności oraz w zw.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z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art.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art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.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445 § 1 w zw.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 </w:t>
      </w:r>
      <w:hyperlink r:id="rId11" w:tooltip="Ustawa z dnia 23 kwietnia 1964 r. - Kodeks cywilny - Dz. U. z 1964 r. Nr 16, poz. 93 (§ 2)" w:history="1"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>§ 2 k.c.</w:t>
        </w:r>
      </w:hyperlink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 poprzez błędne uznanie, iż żądana kwota zadośćuczynienia była rażąco wygórowana i zasądzenie kwoty, która nie stanowiła adekwatnego zadośćuczynienia za krzywdę wynikłą z niewątpliwie niesłusznego umieszczenia wnioskodawców w S. (...) w P., poprzez niewzięcie pod uwagę indywidualnych okoliczności dotyczących wnioskodawców, bezzasadne stwierdzenie, że uzyskanie statusu uchodźcy i związanych z tym świadczeń stanowi rekompensatę za krzywdę wyrządzoną niesłusznym pozbawieniem wolności, bezzasadne stwierdzenie, iż brak jest związku przyczynowo-skutkowego pomiędzy pobytem wnioskodawców w strzeżonym ośrodku, a faktem uderzenia syna wnioskodawczyni przez innego cudzoziemca, jak również poprzez </w:t>
      </w: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lastRenderedPageBreak/>
        <w:t>zasądzenie kwoty nieadekwatnej w porównaniu z kwotami zasądzanymi przez sądy w podobnych sprawach.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Z uwagi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powyższe zarzuty, na podstawie art. 437 § 1 i 2 pełnomocnik wniósł o zmianę zaskarżonego wyroku i zasądzenie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od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Skarbu Państwa na rzecz wnioskodawców kwoty po 35 000 zł wraz z ustawowymi odsetkami od dnia uprawomocnienia się wyroku do dnia zapłaty.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Sąd Apelacyjny zważył, co następuje: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Apelacja pełnomocnika zasługuje </w:t>
      </w: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 częściowe uwzględnienie; jednak z innych powodów niż te, które zostały przytoczone w uzasadnieniu środka odwoławczego.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Sąd I instancji zebrał w toku postępowania wystarczający materiał dowodowy a skarżący nie wskazuje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inne dowody, których przeprowadzenie mogłoby wpłynąć na ostateczną treść rozstrzygnięcia.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Tak ukształtowany materiał dowodowy Sąd poddał ocenie, którą w apelacji kwestionuje skarżący.</w:t>
      </w:r>
      <w:proofErr w:type="gramEnd"/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Dlatego przypomnieć należy utrwalony w judykaturze pogląd, iż ocena materiału dowodowego dokonana przez Sąd orzekający pozostaje pod ochroną </w:t>
      </w:r>
      <w:hyperlink r:id="rId12" w:tooltip="Ustawa z dnia 6 czerwca 1997 r. - Kodeks postępowania karnego - Dz. U. z 1997 r. Nr 89, poz. 555 (art. 7)" w:history="1"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>art.</w:t>
        </w:r>
        <w:proofErr w:type="gramEnd"/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 xml:space="preserve"> 7 k.p.k.</w:t>
        </w:r>
      </w:hyperlink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, gdy jest poprzedzona ujawnieniem w toku rozprawy głównej całokształtu okoliczności sprawy, gdy końcowa ocena dowodów stanowi wynik rozważenia – zgodnie z obowiązkiem dochodzenia do prawdy – okoliczności przemawiających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korzyść jak i na niekorzyść każdej ze stron a uzasadnienie rozstrzygnięcia jest wyczerpujące, logiczne oraz zgodne z wiedzą i doświadczeniem życiowym.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Ustawa procesowa nie daje podstaw do preferowania lub dyskwalifikowania dowodów z punktu widzenia interesów stron; o wartości dowodu decyduje jego treść, to jest wewnętrzna spójność oraz wynik konfrontacji z innymi dowodami. Żaden bowiem dowód nie może być oceniany w oderwaniu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od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wymowy wszystkich pozostałych dowodów zebranych w sprawie. Zasady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te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dotyczą wszystkich dowodów, a więc także dowodu z opinii biegłego, która podlega takiej samej ocenie Sądu jak inne dowody, z którymi może być konfrontowana.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Wysnucie wniosków z oceny materiału dowodowego zależy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od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wewnętrznego przekonania Sądu, które chroni </w:t>
      </w:r>
      <w:hyperlink r:id="rId13" w:tooltip="Ustawa z dnia 6 czerwca 1997 r. - Kodeks postępowania karnego - Dz. U. z 1997 r. Nr 89, poz. 555 (art. 7)" w:history="1"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 xml:space="preserve">art. </w:t>
        </w:r>
        <w:proofErr w:type="gramStart"/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>7 k.p.k.</w:t>
        </w:r>
      </w:hyperlink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, jeżeli Sąd swoje stanowisko w sposób przekonujący uzasadni.</w:t>
      </w:r>
      <w:proofErr w:type="gramEnd"/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Ustalenia faktyczne Sądu meriti nie mogą być podważone, gdy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Sąd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rozważy wszystkie istotne okoliczności wynikające z analizy zebranych dowodów, a dokona tego według reguł wyżej przytoczonych.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Odpowiadając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zarzuty podniesione w niniejszej sprawie przez pełnomocnika wnioskodawców, stwierdzić należy, iż polemika skarżącego w niczym nie podważyła oceny materiału dowodowego, jakiej dokonał Sąd I instancji w motywach zaskarżonego wyroku.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Większość istotnych dowodów niezbędnych do rozstrzygnięcia sprawy stanowiły dokumenty, których autentyczności nikt nie podważył.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W oparciu o niekwestionowane dokumenty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Sąd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ustalił, iż S. C. oraz dwoje jej małoletnich dzieci poruszali się po krajachE. 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podstawie wizy S. wydanej przez konsulatn.w K., na okres od 11 czerwca do 15 września 2012 r.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Ponieważ cudzoziemka nie otrzymała zezwolenia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zamieszkanie na terytorium R. P., utraciła prawo legalnego pobytu i na mocy decyzji Komendanta P. S. (...) w K. winna opuścić terytorium RP.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W czasie opuszczania terytorium P., została zatrzymana przezS.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(...) a następnie 10 listopada 2012 r. przekazana wraz z dziećmi do 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P..</w:t>
      </w:r>
      <w:proofErr w:type="gramEnd"/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lastRenderedPageBreak/>
        <w:t xml:space="preserve">Ponieważ nie posiadała dokumentu uprawniającego do wjazdu i pobytu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terenie R. P., umieszczenie S. C. i jej dzieci wS.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(...) w P. znajdowało uzasadnienie w przepisach </w:t>
      </w:r>
      <w:hyperlink r:id="rId14" w:tooltip="Ustawa z dnia 13 czerwca 2003 r. o cudzoziemcach - Dz. U. z 2003 r. Nr 128, poz. 1175 ()" w:history="1"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>ustawy z 13 czerwca </w:t>
        </w:r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br/>
          <w:t>2003 r. o cudzoziemcach</w:t>
        </w:r>
      </w:hyperlink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.</w:t>
      </w:r>
      <w:proofErr w:type="gramEnd"/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Sytuacja uległa zmianie, gdy S. C. w dniu 5 grudnia 2012 r. złożyła wniosek o nadanie jej i dzieciom statusu uchodźcy.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Dlatego po orzeczeniu wydanym przez Sąd w dniu 12 grudnia 2012 r. pobyt wnioskodawców w strzeżonym ośrodku był oczywiście niezasadny.</w:t>
      </w:r>
      <w:proofErr w:type="gramEnd"/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Tak więc Sąd orzekający o zadośćuczynieniu w rozważaniach uwzględnił jedynie dalszy okres pobytu w ośrodku strzeżonym (od 12 grudnia 2012 r. do 12 lutego 2013 r.), który powinien odbywać się w ośrodku niestrzeżonym dla cudzoziemców.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Rozważając wnioski opinii biegłych odnoszące się do stanu zdrowia psychicznego S. C. i jej dzieci w czasie badania przez biegłych, Sąd miał na uwadze prześladowania, jakich doznali wnioskodawcy w kraju ojczystym, stres związany z opuszczeniem ojczyzny i życiem w innej kulturze, stres wynikający z zatrzymania na terenie R. C.a w końcu uzasadniony pobyt w strzeżonym ośrodku od 10 listopada 2012 r., to jest przez okres około miesiąca.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Sąd I instancji w motywach zaskarżonego wyroku szczegółowo analizował dowody z opinii biegłych psychologa L. B. i psychiatry A. M., podzielając wnioski w nich zawarte.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Z opinii tej jasno wynika, że przyczyną stresu pourazowego wnioskodawczyni był nie tylko pobyt w strzeżonym ośrodku ale także traumatyczne przeżycia w Pakistanie oraz w czasie zatrzymania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terenie C. (k. 295-297). Opinia ta została przeciwstawiona niektórym stwierdzeniom wynikającym z opinii psychologa M. A. i psychiatry A. G., którzy za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stan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zdrowia wnioskodawców, w szczególności małoletnich, czynią odpowiedzialnym przede wszystkim pobyt w strzeżonym ośrodku.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Sąd poddał wszystkie opinie należytej ocenie zgodnie z regułą </w:t>
      </w:r>
      <w:hyperlink r:id="rId15" w:tooltip="Ustawa z dnia 6 czerwca 1997 r. - Kodeks postępowania karnego - Dz. U. z 1997 r. Nr 89, poz. 555 (art. 7)" w:history="1"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>art.</w:t>
        </w:r>
        <w:proofErr w:type="gramEnd"/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 xml:space="preserve"> </w:t>
        </w:r>
        <w:proofErr w:type="gramStart"/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>7 k.p.k.</w:t>
        </w:r>
      </w:hyperlink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 i wyciągnął z analizy opinii prawidłowe wnioski.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Ocena ta jest tym bardziej przekonująca, jeśli uwzględni się treść zaświadczenia lekarskiego wydanego przez psychiatrę J. M. w dniu 25 lutego 2015 r. po badaniu S. C. oraz po wcześniejszych trzech konsultacjach psychologicznych. Opinia tego psychiatry jako przyczynę zaburzeń lękowo-depresyjnych i objawów stresu pourazowego pacjentki wskazuje traumatyczne doświadczenia ostatnich lat - jednak przede wszystkim te, których doznała przed wyjazdem z 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P..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Opinia ta jest oparta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kilku rozmowach z wnioskodawczynią, która opowiadała o przeżyciach swoich i dzieci.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To samo zeznała wnioskodawczyni 18 stycznia 2013 r. w czasie przesłuchania w ośrodku.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Obraz prześladowań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wP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. 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był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na tyle drastyczny, że stał się przyczyną i uzasadniał przyznanie rodzinie statusu uchodźców. Fakty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te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wnioskodawczyni przyznała na rozprawie.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Nie ulega także wątpliwości, iż pierwszy miesiąc pobytu w strzeżonym ośrodku miał wpływ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stan zdrowia wnioskodawców; biegli nie oddzielali w swoich opiniach przeżyć związanych z pobytem w ośrodku w okresie, który nie stanowił podstawy zadośćuczynienia.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Sąd analizował wszystkie okoliczności, słusznie porównując warunki pobytu w ośrodku strzeżonym oraz w ośrodku niestrzeżonym, do którego winni być przekazani wnioskodawcy w dniu 12 grudnia 2012 r. Szczegółowy opis warunków pobytu wnioskodawców w ośrodku jest oparty o rzetelną analizę przeprowadzanych dowodów; Sąd nie pominął trudów związanych z pozbawieniem wolności ale dostrzegł specyficzne warunki życia w ośrodku dla cudzoziemców – tak strzeżonym jak i niestrzeżonym.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Rozważania Sądu uwzględniają wszystkie okoliczności sprawy,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są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logiczne i wyczerpujące, zgodne z wiedzą i doświadczeniem życiowym. Ustalenia faktyczne, oparte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tej ocenie, są prawidłowe.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lastRenderedPageBreak/>
        <w:t>Powyższe nie wyczerpuje jednak całości problematyki niniejszej sprawy.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Dotyczy ona oceny, jakiej wysokości zadośćuczynienie winno być zasądzone dla każdego z wnioskodawców, czyli jaka kwota zadośćuczynienia będzie „odpowiednia” w myśl </w:t>
      </w:r>
      <w:hyperlink r:id="rId16" w:tooltip="Ustawa z dnia 6 czerwca 1997 r. - Kodeks postępowania karnego - Dz. U. z 1997 r. Nr 89, poz. 555 (art. 552)" w:history="1"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>art.</w:t>
        </w:r>
        <w:proofErr w:type="gramEnd"/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 xml:space="preserve"> </w:t>
        </w:r>
        <w:proofErr w:type="gramStart"/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>552 k.p.k.</w:t>
        </w:r>
        <w:proofErr w:type="gramEnd"/>
      </w:hyperlink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Ustalenie to należy do sfery swobodnego uznania sędziowskiego; chodzi jednak o to, aby zasądzone kwoty nie były symboliczne, aby stanowiły rekompensatę doznanych krzywd ale nie były wygórowane i nie prowadziły do niestosownego wzbogacenia się tą drogą. Muszą uwzględniać także poziom życia i stosunki majątkowe w 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P..</w:t>
      </w:r>
      <w:proofErr w:type="gramEnd"/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Wbrew zarzutom skarżącego, problem wysokości zadośćuczynienia sprowadza się do oceny przesłanek rzutujących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wysokość zasądzonych kwot i nie należy go rozpatrywać w ramach naruszenia przepisów prawa materialnego.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W sprawie niniejszej Sąd rozważył wszystkie istotne okoliczności mające wpływ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wysokość zasądzanych kwot zadośćuczynień; jednak nie znalazło to należytego odzwierciedlenia w treści ostatecznego rozstrzygnięcia.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W ocenie Sądu odwoławczego zasądzone kwoty są zbyt niskie, jeśli uwzględni się przeciętny poziom życia obywateli R.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P..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Jednocześnie okoliczności, ustalone przez Sąd I instancji, uzasadniają zróżnicowanie zadośćuczynienia dla osoby dorosłej oraz dla osób małoletnich.</w:t>
      </w:r>
      <w:proofErr w:type="gramEnd"/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Z tych względów, mając na uwadze, iż kwota 1000 złotych zadośćuczynienia dla S. C. byłaby kwotą symboliczną, Sąd Apelacyjny podwyższył ją do kwoty łącznej 10.000 złotych.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Natomiast w stosunku do małoletnich wnioskodawców kwoty zostały podwyższone do 15.000 złotych.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Wobec Z. C. należało uwzględnić dodatkowo jego przeżycia związane z pobytem w szpitalu i stres jaki przeżył wtedy niespełna 10-letni chłopiec nieznający języka polskiego.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Jego siostra F. C. jest młodsza o 2 lata i jako dziewczynka była szczególnie narażona </w:t>
      </w: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 xml:space="preserve"> przykre przeżycia związane z pobytem w ośrodku z ludźmi prezentującymi skrajnie odmienne kultury i obyczaje.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proofErr w:type="gramStart"/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Żądanie kwot powyżej zasądzonych zadośćuczynień nie znajduje uzasadnienia nie tylko w prawidłowo ustalonych przez Sąd I instancji przesłankach związanych z warunkami życia w ośrodku strzeżonym ale także jest zbyt wygórowane w obecnej sytuacji materialnej obywateli RP oraz w kontekście zadośćuczynień zasądzonych w innych sprawach przez polskie sądy.</w:t>
      </w:r>
      <w:proofErr w:type="gramEnd"/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Mając powyższe </w:t>
      </w:r>
      <w:proofErr w:type="gramStart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>na</w:t>
      </w:r>
      <w:proofErr w:type="gramEnd"/>
      <w:r w:rsidRPr="00663C5D">
        <w:rPr>
          <w:rFonts w:ascii="Georgia" w:eastAsia="Times New Roman" w:hAnsi="Georgia" w:cs="Times New Roman"/>
          <w:b/>
          <w:bCs/>
          <w:i/>
          <w:iCs/>
          <w:color w:val="222222"/>
          <w:sz w:val="21"/>
          <w:szCs w:val="21"/>
          <w:lang w:eastAsia="en-GB"/>
        </w:rPr>
        <w:t xml:space="preserve"> uwadze, Sąd Apelacyjny orzekł jak w wyroku.</w:t>
      </w:r>
    </w:p>
    <w:p w:rsidR="00663C5D" w:rsidRPr="00663C5D" w:rsidRDefault="00663C5D" w:rsidP="00663C5D">
      <w:pPr>
        <w:shd w:val="clear" w:color="auto" w:fill="F8F7F4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</w:pPr>
      <w:r w:rsidRPr="00663C5D">
        <w:rPr>
          <w:rFonts w:ascii="Georgia" w:eastAsia="Times New Roman" w:hAnsi="Georgia" w:cs="Times New Roman"/>
          <w:i/>
          <w:iCs/>
          <w:color w:val="222222"/>
          <w:sz w:val="21"/>
          <w:szCs w:val="21"/>
          <w:lang w:eastAsia="en-GB"/>
        </w:rPr>
        <w:t>O kosztach procesu rozstrzygnięto z mocy </w:t>
      </w:r>
      <w:hyperlink r:id="rId17" w:tooltip="Ustawa z dnia 6 czerwca 1997 r. - Kodeks postępowania karnego - Dz. U. z 1997 r. Nr 89, poz. 555 (art. 554;art. 554 § 4)" w:history="1"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 xml:space="preserve">art. </w:t>
        </w:r>
        <w:proofErr w:type="gramStart"/>
        <w:r w:rsidRPr="00663C5D">
          <w:rPr>
            <w:rFonts w:ascii="Georgia" w:eastAsia="Times New Roman" w:hAnsi="Georgia" w:cs="Times New Roman"/>
            <w:i/>
            <w:iCs/>
            <w:color w:val="682140"/>
            <w:sz w:val="21"/>
            <w:szCs w:val="21"/>
            <w:u w:val="single"/>
            <w:lang w:eastAsia="en-GB"/>
          </w:rPr>
          <w:t>554 § 4 k.p.k.</w:t>
        </w:r>
        <w:proofErr w:type="gramEnd"/>
      </w:hyperlink>
    </w:p>
    <w:p w:rsidR="006037E2" w:rsidRDefault="006037E2">
      <w:bookmarkStart w:id="0" w:name="_GoBack"/>
      <w:bookmarkEnd w:id="0"/>
    </w:p>
    <w:sectPr w:rsidR="00603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5D"/>
    <w:rsid w:val="006037E2"/>
    <w:rsid w:val="0066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3C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663C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3C5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63C5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6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63C5D"/>
    <w:rPr>
      <w:b/>
      <w:bCs/>
    </w:rPr>
  </w:style>
  <w:style w:type="character" w:customStyle="1" w:styleId="apple-converted-space">
    <w:name w:val="apple-converted-space"/>
    <w:basedOn w:val="DefaultParagraphFont"/>
    <w:rsid w:val="00663C5D"/>
  </w:style>
  <w:style w:type="character" w:customStyle="1" w:styleId="anon-block">
    <w:name w:val="anon-block"/>
    <w:basedOn w:val="DefaultParagraphFont"/>
    <w:rsid w:val="00663C5D"/>
  </w:style>
  <w:style w:type="character" w:styleId="Hyperlink">
    <w:name w:val="Hyperlink"/>
    <w:basedOn w:val="DefaultParagraphFont"/>
    <w:uiPriority w:val="99"/>
    <w:semiHidden/>
    <w:unhideWhenUsed/>
    <w:rsid w:val="00663C5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63C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3C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663C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3C5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63C5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6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63C5D"/>
    <w:rPr>
      <w:b/>
      <w:bCs/>
    </w:rPr>
  </w:style>
  <w:style w:type="character" w:customStyle="1" w:styleId="apple-converted-space">
    <w:name w:val="apple-converted-space"/>
    <w:basedOn w:val="DefaultParagraphFont"/>
    <w:rsid w:val="00663C5D"/>
  </w:style>
  <w:style w:type="character" w:customStyle="1" w:styleId="anon-block">
    <w:name w:val="anon-block"/>
    <w:basedOn w:val="DefaultParagraphFont"/>
    <w:rsid w:val="00663C5D"/>
  </w:style>
  <w:style w:type="character" w:styleId="Hyperlink">
    <w:name w:val="Hyperlink"/>
    <w:basedOn w:val="DefaultParagraphFont"/>
    <w:uiPriority w:val="99"/>
    <w:semiHidden/>
    <w:unhideWhenUsed/>
    <w:rsid w:val="00663C5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63C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19970890555" TargetMode="External"/><Relationship Id="rId13" Type="http://schemas.openxmlformats.org/officeDocument/2006/relationships/hyperlink" Target="http://isap.sejm.gov.pl/DetailsServlet?id=WDU1997089055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19970890555" TargetMode="External"/><Relationship Id="rId12" Type="http://schemas.openxmlformats.org/officeDocument/2006/relationships/hyperlink" Target="http://isap.sejm.gov.pl/DetailsServlet?id=WDU19970890555" TargetMode="External"/><Relationship Id="rId17" Type="http://schemas.openxmlformats.org/officeDocument/2006/relationships/hyperlink" Target="http://isap.sejm.gov.pl/DetailsServlet?id=WDU1997089055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sap.sejm.gov.pl/DetailsServlet?id=WDU19970890555" TargetMode="External"/><Relationship Id="rId1" Type="http://schemas.openxmlformats.org/officeDocument/2006/relationships/styles" Target="styles.xml"/><Relationship Id="rId6" Type="http://schemas.openxmlformats.org/officeDocument/2006/relationships/hyperlink" Target="http://isap.sejm.gov.pl/DetailsServlet?id=WDU19970890555" TargetMode="External"/><Relationship Id="rId11" Type="http://schemas.openxmlformats.org/officeDocument/2006/relationships/hyperlink" Target="http://isap.sejm.gov.pl/DetailsServlet?id=WDU19640160093" TargetMode="External"/><Relationship Id="rId5" Type="http://schemas.openxmlformats.org/officeDocument/2006/relationships/hyperlink" Target="http://isap.sejm.gov.pl/DetailsServlet?id=WDU19970890555" TargetMode="External"/><Relationship Id="rId15" Type="http://schemas.openxmlformats.org/officeDocument/2006/relationships/hyperlink" Target="http://isap.sejm.gov.pl/DetailsServlet?id=WDU19970890555" TargetMode="External"/><Relationship Id="rId10" Type="http://schemas.openxmlformats.org/officeDocument/2006/relationships/hyperlink" Target="http://isap.sejm.gov.pl/DetailsServlet?id=WDU1997089055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sap.sejm.gov.pl/DetailsServlet?id=WDU19970890555" TargetMode="External"/><Relationship Id="rId14" Type="http://schemas.openxmlformats.org/officeDocument/2006/relationships/hyperlink" Target="http://isap.sejm.gov.pl/DetailsServlet?id=WDU20031281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2493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Taylor</dc:creator>
  <cp:lastModifiedBy>Amanda Taylor</cp:lastModifiedBy>
  <cp:revision>1</cp:revision>
  <dcterms:created xsi:type="dcterms:W3CDTF">2017-01-31T13:13:00Z</dcterms:created>
  <dcterms:modified xsi:type="dcterms:W3CDTF">2017-01-31T13:14:00Z</dcterms:modified>
</cp:coreProperties>
</file>