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1"/>
        <w:gridCol w:w="2233"/>
        <w:gridCol w:w="3017"/>
        <w:gridCol w:w="3753"/>
      </w:tblGrid>
      <w:tr w:rsidR="00AF47B0" w:rsidTr="000B5C1B">
        <w:tc>
          <w:tcPr>
            <w:tcW w:w="2694" w:type="dxa"/>
            <w:gridSpan w:val="2"/>
            <w:tcBorders>
              <w:top w:val="single" w:sz="12" w:space="0" w:color="000000"/>
              <w:left w:val="single" w:sz="12" w:space="0" w:color="000000"/>
              <w:bottom w:val="single" w:sz="12" w:space="0" w:color="000000"/>
              <w:right w:val="single" w:sz="4" w:space="0" w:color="000000"/>
            </w:tcBorders>
            <w:hideMark/>
          </w:tcPr>
          <w:p w:rsidR="00AF47B0" w:rsidRDefault="0054557A">
            <w:pPr>
              <w:spacing w:after="0" w:line="240" w:lineRule="auto"/>
              <w:rPr>
                <w:rFonts w:cs="Calibri"/>
                <w:b/>
                <w:bCs/>
                <w:lang w:val="en-US"/>
              </w:rPr>
            </w:pPr>
            <w:r>
              <w:rPr>
                <w:rFonts w:cs="Calibri"/>
                <w:b/>
                <w:bCs/>
                <w:lang w:val="en-U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AF47B0" w:rsidRDefault="0054557A">
            <w:pPr>
              <w:spacing w:after="0" w:line="240" w:lineRule="auto"/>
              <w:rPr>
                <w:rFonts w:cs="Calibri"/>
                <w:b/>
                <w:lang w:val="en-US"/>
              </w:rPr>
            </w:pPr>
            <w:r>
              <w:rPr>
                <w:rFonts w:cs="Calibri"/>
                <w:b/>
                <w:lang w:val="en-US"/>
              </w:rPr>
              <w:t>Preliminary ruling</w:t>
            </w:r>
          </w:p>
        </w:tc>
      </w:tr>
      <w:tr w:rsidR="00AF47B0" w:rsidTr="000B5C1B">
        <w:tc>
          <w:tcPr>
            <w:tcW w:w="2694" w:type="dxa"/>
            <w:gridSpan w:val="2"/>
            <w:tcBorders>
              <w:top w:val="single" w:sz="12"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lang w:val="en-US"/>
              </w:rPr>
            </w:pPr>
            <w:r>
              <w:rPr>
                <w:rFonts w:cs="Calibri"/>
                <w:lang w:val="en-US"/>
              </w:rPr>
              <w:t>Country of Appeal</w:t>
            </w:r>
          </w:p>
        </w:tc>
        <w:tc>
          <w:tcPr>
            <w:tcW w:w="6770" w:type="dxa"/>
            <w:gridSpan w:val="2"/>
            <w:tcBorders>
              <w:top w:val="single" w:sz="12" w:space="0" w:color="000000"/>
              <w:left w:val="single" w:sz="4" w:space="0" w:color="000000"/>
              <w:bottom w:val="single" w:sz="4" w:space="0" w:color="000000"/>
              <w:right w:val="single" w:sz="4" w:space="0" w:color="000000"/>
            </w:tcBorders>
          </w:tcPr>
          <w:p w:rsidR="00AF47B0" w:rsidRDefault="0054557A">
            <w:pPr>
              <w:spacing w:after="0" w:line="240" w:lineRule="auto"/>
              <w:rPr>
                <w:rFonts w:cs="Calibri"/>
                <w:b/>
                <w:lang w:val="en-US"/>
              </w:rPr>
            </w:pPr>
            <w:r>
              <w:rPr>
                <w:rFonts w:cs="Calibri"/>
                <w:b/>
                <w:lang w:val="en-US"/>
              </w:rPr>
              <w:t>Austria</w:t>
            </w:r>
          </w:p>
        </w:tc>
      </w:tr>
      <w:tr w:rsidR="00AF47B0" w:rsidTr="000B5C1B">
        <w:tc>
          <w:tcPr>
            <w:tcW w:w="2694" w:type="dxa"/>
            <w:gridSpan w:val="2"/>
            <w:tcBorders>
              <w:top w:val="single" w:sz="12"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AF47B0" w:rsidRDefault="0054557A">
            <w:pPr>
              <w:spacing w:after="0" w:line="240" w:lineRule="auto"/>
              <w:rPr>
                <w:rFonts w:cs="Calibri"/>
                <w:b/>
                <w:lang w:val="en-US"/>
              </w:rPr>
            </w:pPr>
            <w:r>
              <w:rPr>
                <w:rFonts w:cs="Calibri"/>
                <w:b/>
                <w:lang w:val="en-US"/>
              </w:rPr>
              <w:t>Hungary</w:t>
            </w:r>
          </w:p>
        </w:tc>
      </w:tr>
      <w:tr w:rsidR="00AF47B0" w:rsidTr="000B5C1B">
        <w:tc>
          <w:tcPr>
            <w:tcW w:w="2694" w:type="dxa"/>
            <w:gridSpan w:val="2"/>
            <w:tcBorders>
              <w:top w:val="single" w:sz="4"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lang w:val="en-US"/>
              </w:rPr>
            </w:pPr>
            <w:r>
              <w:rPr>
                <w:rFonts w:cs="Calibri"/>
                <w:lang w:val="en-US"/>
              </w:rPr>
              <w:t>Case name</w:t>
            </w:r>
          </w:p>
        </w:tc>
        <w:tc>
          <w:tcPr>
            <w:tcW w:w="6770" w:type="dxa"/>
            <w:gridSpan w:val="2"/>
            <w:tcBorders>
              <w:top w:val="single" w:sz="4" w:space="0" w:color="000000"/>
              <w:left w:val="single" w:sz="4" w:space="0" w:color="000000"/>
              <w:bottom w:val="single" w:sz="4" w:space="0" w:color="000000"/>
              <w:right w:val="single" w:sz="4" w:space="0" w:color="000000"/>
            </w:tcBorders>
          </w:tcPr>
          <w:p w:rsidR="00AF47B0" w:rsidRDefault="00AF47B0">
            <w:pPr>
              <w:spacing w:after="0" w:line="240" w:lineRule="auto"/>
              <w:rPr>
                <w:rFonts w:cs="Calibri"/>
                <w:b/>
                <w:lang w:val="nl-NL"/>
              </w:rPr>
            </w:pPr>
          </w:p>
        </w:tc>
      </w:tr>
      <w:tr w:rsidR="00AF47B0" w:rsidTr="000B5C1B">
        <w:tc>
          <w:tcPr>
            <w:tcW w:w="2694" w:type="dxa"/>
            <w:gridSpan w:val="2"/>
            <w:tcBorders>
              <w:top w:val="single" w:sz="4"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AF47B0" w:rsidRDefault="0054557A">
            <w:pPr>
              <w:spacing w:after="0" w:line="240" w:lineRule="auto"/>
              <w:rPr>
                <w:rFonts w:cs="Calibri"/>
                <w:b/>
                <w:lang w:val="nl-NL"/>
              </w:rPr>
            </w:pPr>
            <w:r>
              <w:rPr>
                <w:rFonts w:cs="Calibri"/>
                <w:b/>
                <w:lang w:val="nl-NL"/>
              </w:rPr>
              <w:t>Constitutional Court</w:t>
            </w:r>
          </w:p>
        </w:tc>
      </w:tr>
      <w:tr w:rsidR="00AF47B0" w:rsidTr="000B5C1B">
        <w:tc>
          <w:tcPr>
            <w:tcW w:w="2694" w:type="dxa"/>
            <w:gridSpan w:val="2"/>
            <w:tcBorders>
              <w:top w:val="single" w:sz="4"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AF47B0" w:rsidRPr="000B5C1B" w:rsidRDefault="0054557A">
            <w:pPr>
              <w:spacing w:after="0" w:line="240" w:lineRule="auto"/>
              <w:rPr>
                <w:rFonts w:cs="Calibri"/>
                <w:b/>
                <w:lang w:val="de-AT"/>
              </w:rPr>
            </w:pPr>
            <w:r w:rsidRPr="000B5C1B">
              <w:rPr>
                <w:rFonts w:cs="Calibri"/>
                <w:b/>
                <w:lang w:val="de-AT"/>
              </w:rPr>
              <w:t>U 330/12</w:t>
            </w:r>
          </w:p>
          <w:p w:rsidR="000B5C1B" w:rsidRPr="000B5C1B" w:rsidRDefault="000B5C1B">
            <w:pPr>
              <w:spacing w:after="0" w:line="240" w:lineRule="auto"/>
              <w:rPr>
                <w:rFonts w:cs="Calibri"/>
                <w:lang w:val="de-AT"/>
              </w:rPr>
            </w:pPr>
            <w:r w:rsidRPr="000B5C1B">
              <w:rPr>
                <w:rFonts w:cs="Calibri"/>
                <w:lang w:val="de-AT"/>
              </w:rPr>
              <w:t>https://www.ris.bka.gv.at/Dokumente/Vfgh/JFR_09879373_12U00330_01/JFR_09879373_12U00330_01.pdf</w:t>
            </w:r>
          </w:p>
        </w:tc>
      </w:tr>
      <w:tr w:rsidR="00AF47B0" w:rsidTr="000B5C1B">
        <w:tc>
          <w:tcPr>
            <w:tcW w:w="2694" w:type="dxa"/>
            <w:gridSpan w:val="2"/>
            <w:tcBorders>
              <w:top w:val="single" w:sz="4"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AF47B0" w:rsidRDefault="0054557A">
            <w:pPr>
              <w:spacing w:after="0" w:line="240" w:lineRule="auto"/>
              <w:rPr>
                <w:rFonts w:cs="Calibri"/>
                <w:b/>
                <w:lang w:val="en-US"/>
              </w:rPr>
            </w:pPr>
            <w:r>
              <w:rPr>
                <w:rFonts w:cs="Calibri"/>
                <w:b/>
                <w:lang w:val="en-US"/>
              </w:rPr>
              <w:t>27.06.2012</w:t>
            </w:r>
          </w:p>
        </w:tc>
      </w:tr>
      <w:tr w:rsidR="00AF47B0" w:rsidTr="000B5C1B">
        <w:tc>
          <w:tcPr>
            <w:tcW w:w="2694" w:type="dxa"/>
            <w:gridSpan w:val="2"/>
            <w:tcBorders>
              <w:top w:val="single" w:sz="4"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lang w:val="en-US"/>
              </w:rPr>
            </w:pPr>
            <w:r>
              <w:rPr>
                <w:rFonts w:cs="Calibri"/>
                <w:lang w:val="en-US"/>
              </w:rPr>
              <w:t>Country of applicant/Claimant</w:t>
            </w:r>
          </w:p>
        </w:tc>
        <w:tc>
          <w:tcPr>
            <w:tcW w:w="6770" w:type="dxa"/>
            <w:gridSpan w:val="2"/>
            <w:tcBorders>
              <w:top w:val="single" w:sz="4" w:space="0" w:color="000000"/>
              <w:left w:val="single" w:sz="4" w:space="0" w:color="000000"/>
              <w:bottom w:val="single" w:sz="4" w:space="0" w:color="000000"/>
              <w:right w:val="single" w:sz="4" w:space="0" w:color="000000"/>
            </w:tcBorders>
          </w:tcPr>
          <w:p w:rsidR="00AF47B0" w:rsidRDefault="0054557A">
            <w:pPr>
              <w:spacing w:after="0" w:line="240" w:lineRule="auto"/>
              <w:rPr>
                <w:rFonts w:cs="Calibri"/>
                <w:bCs/>
                <w:lang w:val="en-US"/>
              </w:rPr>
            </w:pPr>
            <w:r>
              <w:rPr>
                <w:rFonts w:cs="Calibri"/>
                <w:bCs/>
                <w:lang w:val="en-US"/>
              </w:rPr>
              <w:t>Pakistan</w:t>
            </w:r>
          </w:p>
        </w:tc>
      </w:tr>
      <w:tr w:rsidR="00AF47B0" w:rsidTr="000B5C1B">
        <w:tc>
          <w:tcPr>
            <w:tcW w:w="2694" w:type="dxa"/>
            <w:gridSpan w:val="2"/>
            <w:tcBorders>
              <w:top w:val="single" w:sz="4"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lang w:val="en-US"/>
              </w:rPr>
            </w:pPr>
            <w:r>
              <w:rPr>
                <w:rFonts w:cs="Calibri"/>
                <w:lang w:val="en-US"/>
              </w:rPr>
              <w:t>Summary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AF47B0" w:rsidRDefault="00AF47B0">
            <w:pPr>
              <w:spacing w:after="0" w:line="240" w:lineRule="auto"/>
              <w:rPr>
                <w:rFonts w:cs="Calibri"/>
                <w:bCs/>
                <w:lang w:val="nl-NL"/>
              </w:rPr>
            </w:pPr>
          </w:p>
        </w:tc>
      </w:tr>
      <w:tr w:rsidR="00AF47B0" w:rsidTr="000B5C1B">
        <w:trPr>
          <w:trHeight w:val="385"/>
        </w:trPr>
        <w:tc>
          <w:tcPr>
            <w:tcW w:w="461" w:type="dxa"/>
            <w:tcBorders>
              <w:top w:val="single" w:sz="4" w:space="0" w:color="auto"/>
              <w:left w:val="single" w:sz="4" w:space="0" w:color="000000"/>
              <w:bottom w:val="single" w:sz="4" w:space="0" w:color="auto"/>
              <w:right w:val="single" w:sz="4" w:space="0" w:color="000000"/>
            </w:tcBorders>
          </w:tcPr>
          <w:p w:rsidR="00AF47B0" w:rsidRDefault="00AF47B0">
            <w:pPr>
              <w:spacing w:after="0" w:line="240" w:lineRule="auto"/>
              <w:rPr>
                <w:rFonts w:cs="Calibri"/>
                <w:lang w:val="en-US"/>
              </w:rPr>
            </w:pPr>
          </w:p>
        </w:tc>
        <w:tc>
          <w:tcPr>
            <w:tcW w:w="2233" w:type="dxa"/>
            <w:tcBorders>
              <w:top w:val="single" w:sz="4" w:space="0" w:color="auto"/>
              <w:left w:val="single" w:sz="4" w:space="0" w:color="000000"/>
              <w:bottom w:val="single" w:sz="4" w:space="0" w:color="auto"/>
              <w:right w:val="single" w:sz="4" w:space="0" w:color="000000"/>
            </w:tcBorders>
            <w:hideMark/>
          </w:tcPr>
          <w:p w:rsidR="00AF47B0" w:rsidRDefault="0054557A">
            <w:pPr>
              <w:spacing w:after="0" w:line="240" w:lineRule="auto"/>
              <w:rPr>
                <w:rFonts w:cs="Calibri"/>
                <w:i/>
                <w:lang w:val="en-US"/>
              </w:rPr>
            </w:pPr>
            <w:r>
              <w:rPr>
                <w:rFonts w:cs="Calibri"/>
                <w:i/>
                <w:lang w:val="en-US"/>
              </w:rPr>
              <w:t>Facts (brief overview)</w:t>
            </w:r>
          </w:p>
        </w:tc>
        <w:tc>
          <w:tcPr>
            <w:tcW w:w="6770" w:type="dxa"/>
            <w:gridSpan w:val="2"/>
            <w:tcBorders>
              <w:top w:val="single" w:sz="4" w:space="0" w:color="auto"/>
              <w:left w:val="single" w:sz="4" w:space="0" w:color="000000"/>
              <w:bottom w:val="single" w:sz="4" w:space="0" w:color="auto"/>
              <w:right w:val="single" w:sz="4" w:space="0" w:color="000000"/>
            </w:tcBorders>
          </w:tcPr>
          <w:p w:rsidR="00AF47B0" w:rsidRDefault="0054557A">
            <w:pPr>
              <w:spacing w:after="0" w:line="100" w:lineRule="atLeast"/>
              <w:jc w:val="both"/>
              <w:rPr>
                <w:rFonts w:cs="Calibri"/>
                <w:b/>
                <w:lang w:val="nl-NL"/>
              </w:rPr>
            </w:pPr>
            <w:r>
              <w:rPr>
                <w:rFonts w:cs="Calibri"/>
                <w:b/>
                <w:lang w:val="nl-NL"/>
              </w:rPr>
              <w:t>The applicant applied for asylum in Austria in November 2011. When asked about his route to Austria during the preliminary interview, he said he left Pakistan three months earlier, travelled via Iran and Turkey to the European Union and arrived in Austria passing unknown countries.</w:t>
            </w:r>
          </w:p>
          <w:p w:rsidR="00AF47B0" w:rsidRDefault="0054557A">
            <w:pPr>
              <w:spacing w:after="0" w:line="100" w:lineRule="atLeast"/>
              <w:jc w:val="both"/>
              <w:rPr>
                <w:rFonts w:cs="Calibri"/>
                <w:b/>
                <w:lang w:val="nl-NL"/>
              </w:rPr>
            </w:pPr>
            <w:r>
              <w:rPr>
                <w:rFonts w:cs="Calibri"/>
                <w:b/>
                <w:lang w:val="nl-NL"/>
              </w:rPr>
              <w:t>Based on this information, the Federal Asylum Office held consultations with Hungary. Hungary accepted to take responsibility for his asylum procedure. In an interview he was confronted with the fact that Austria intends to transfer him to Hungary. He said, he does not know Hungary, has never been there and does not understand why he has to go there. The Federal Asylum Office issued an inadmissibility decision and an expulsion order to Hungary.</w:t>
            </w:r>
          </w:p>
          <w:p w:rsidR="00AF47B0" w:rsidRDefault="0054557A">
            <w:pPr>
              <w:spacing w:after="0" w:line="240" w:lineRule="auto"/>
              <w:jc w:val="both"/>
              <w:rPr>
                <w:rFonts w:cs="Calibri"/>
                <w:b/>
                <w:lang w:val="nl-NL"/>
              </w:rPr>
            </w:pPr>
            <w:r>
              <w:rPr>
                <w:rFonts w:cs="Calibri"/>
                <w:b/>
                <w:lang w:val="nl-NL"/>
              </w:rPr>
              <w:t xml:space="preserve">The applicant appeald against this decision. The Asylum Court refused the appeal. Based on the relevant, above mentioned information the applicant seemed to have travelled through Greece, Macedonia, Serbia and Hungary to Austria. Regarding the responsibility of Hungary for his asylum procedure the Asylum Court stated </w:t>
            </w:r>
            <w:bookmarkStart w:id="0" w:name="_GoBack"/>
            <w:r>
              <w:rPr>
                <w:rFonts w:cs="Calibri"/>
                <w:b/>
                <w:lang w:val="nl-NL"/>
              </w:rPr>
              <w:t>that the sequence of legal, administrative detection in an EU state was interrupted  when the applicant left Greece after having entered this Member State illegally</w:t>
            </w:r>
            <w:bookmarkEnd w:id="0"/>
            <w:r>
              <w:rPr>
                <w:rFonts w:cs="Calibri"/>
                <w:b/>
                <w:lang w:val="nl-NL"/>
              </w:rPr>
              <w:t>. Furthermore Hungary accepted to take him back, so as a result Hungary is considered to be the responsible Member State.</w:t>
            </w:r>
          </w:p>
          <w:p w:rsidR="00AF47B0" w:rsidRDefault="0054557A">
            <w:pPr>
              <w:spacing w:after="0" w:line="240" w:lineRule="auto"/>
              <w:jc w:val="both"/>
              <w:rPr>
                <w:rFonts w:cs="Calibri"/>
                <w:b/>
                <w:lang w:val="nl-NL"/>
              </w:rPr>
            </w:pPr>
            <w:r>
              <w:rPr>
                <w:rFonts w:cs="Calibri"/>
                <w:b/>
                <w:lang w:val="nl-NL"/>
              </w:rPr>
              <w:t>The applicant appealed against this decision for the reason that the Asylum Court's argumentation that the detection sequence was interrupted, has no basis in either the Dublin II Regulation itself, or international jurisprudence.</w:t>
            </w:r>
          </w:p>
        </w:tc>
      </w:tr>
      <w:tr w:rsidR="00AF47B0" w:rsidTr="000B5C1B">
        <w:trPr>
          <w:trHeight w:val="385"/>
        </w:trPr>
        <w:tc>
          <w:tcPr>
            <w:tcW w:w="461" w:type="dxa"/>
            <w:tcBorders>
              <w:top w:val="single" w:sz="4" w:space="0" w:color="auto"/>
              <w:left w:val="single" w:sz="4" w:space="0" w:color="000000"/>
              <w:bottom w:val="single" w:sz="4" w:space="0" w:color="auto"/>
              <w:right w:val="single" w:sz="4" w:space="0" w:color="000000"/>
            </w:tcBorders>
            <w:hideMark/>
          </w:tcPr>
          <w:p w:rsidR="00AF47B0" w:rsidRDefault="0054557A">
            <w:pPr>
              <w:spacing w:after="0" w:line="240" w:lineRule="auto"/>
              <w:rPr>
                <w:rFonts w:cs="Calibri"/>
                <w:lang w:val="nl-NL"/>
              </w:rPr>
            </w:pPr>
            <w:r>
              <w:rPr>
                <w:rFonts w:cs="Calibri"/>
                <w:b/>
                <w:lang w:val="nl-NL"/>
              </w:rPr>
              <w:t xml:space="preserve">        </w:t>
            </w:r>
          </w:p>
        </w:tc>
        <w:tc>
          <w:tcPr>
            <w:tcW w:w="2233" w:type="dxa"/>
            <w:tcBorders>
              <w:top w:val="single" w:sz="4" w:space="0" w:color="auto"/>
              <w:left w:val="single" w:sz="4" w:space="0" w:color="000000"/>
              <w:bottom w:val="single" w:sz="4" w:space="0" w:color="auto"/>
              <w:right w:val="single" w:sz="4" w:space="0" w:color="000000"/>
            </w:tcBorders>
            <w:hideMark/>
          </w:tcPr>
          <w:p w:rsidR="00AF47B0" w:rsidRDefault="0054557A" w:rsidP="0054557A">
            <w:pPr>
              <w:spacing w:after="0" w:line="240" w:lineRule="auto"/>
              <w:rPr>
                <w:rFonts w:cs="Calibri"/>
                <w:i/>
                <w:lang w:val="en-US"/>
              </w:rPr>
            </w:pPr>
            <w:r>
              <w:rPr>
                <w:rFonts w:cs="Calibri"/>
                <w:i/>
                <w:lang w:val="en-US"/>
              </w:rPr>
              <w:t>Decision &amp; Reasoning</w:t>
            </w:r>
          </w:p>
        </w:tc>
        <w:tc>
          <w:tcPr>
            <w:tcW w:w="6770" w:type="dxa"/>
            <w:gridSpan w:val="2"/>
            <w:tcBorders>
              <w:top w:val="single" w:sz="4" w:space="0" w:color="auto"/>
              <w:left w:val="single" w:sz="4" w:space="0" w:color="000000"/>
              <w:bottom w:val="single" w:sz="4" w:space="0" w:color="auto"/>
              <w:right w:val="single" w:sz="4" w:space="0" w:color="000000"/>
            </w:tcBorders>
          </w:tcPr>
          <w:p w:rsidR="00AF47B0" w:rsidRDefault="0054557A">
            <w:pPr>
              <w:spacing w:after="0" w:line="100" w:lineRule="atLeast"/>
              <w:jc w:val="both"/>
              <w:rPr>
                <w:rFonts w:cs="Calibri"/>
                <w:b/>
                <w:lang w:val="nl-NL"/>
              </w:rPr>
            </w:pPr>
            <w:r>
              <w:rPr>
                <w:rFonts w:cs="Calibri"/>
                <w:b/>
                <w:lang w:val="nl-NL"/>
              </w:rPr>
              <w:t>The Constitutional Court accepted the appeal. The Asylum Court has to initiate a proceeding for preliminary ruling at the European Court of Justice. The ECJ's rulings C-411/10 and C-493/10 the Asylum Court refers to, do not take into consideration the applicant's situation. The key issue, if Greece is still formally responsible although the asylum applicant left the EU for a short term is not answered.</w:t>
            </w:r>
          </w:p>
          <w:p w:rsidR="00AF47B0" w:rsidRDefault="0054557A">
            <w:pPr>
              <w:spacing w:after="0" w:line="100" w:lineRule="atLeast"/>
              <w:jc w:val="both"/>
              <w:rPr>
                <w:rFonts w:cs="Calibri"/>
                <w:b/>
                <w:lang w:val="nl-NL"/>
              </w:rPr>
            </w:pPr>
            <w:r>
              <w:rPr>
                <w:rFonts w:cs="Calibri"/>
                <w:b/>
                <w:lang w:val="nl-NL"/>
              </w:rPr>
              <w:t>The argumentation of an interrupted detection sequence in an EU state has no legal basis, but it is even  contrary to Art 16 (3) Dublin II Regulation.</w:t>
            </w:r>
          </w:p>
          <w:p w:rsidR="00AF47B0" w:rsidRDefault="0054557A">
            <w:pPr>
              <w:spacing w:after="0" w:line="240" w:lineRule="auto"/>
              <w:jc w:val="both"/>
              <w:rPr>
                <w:rFonts w:cs="Calibri"/>
                <w:b/>
                <w:lang w:val="nl-NL"/>
              </w:rPr>
            </w:pPr>
            <w:r>
              <w:rPr>
                <w:rFonts w:cs="Calibri"/>
                <w:b/>
                <w:lang w:val="nl-NL"/>
              </w:rPr>
              <w:t xml:space="preserve">This question has to be dealt with by the European Court of Justice, </w:t>
            </w:r>
            <w:r>
              <w:rPr>
                <w:rFonts w:cs="Calibri"/>
                <w:b/>
                <w:lang w:val="nl-NL"/>
              </w:rPr>
              <w:lastRenderedPageBreak/>
              <w:t>which has never decided about a similar case thus far. So the Asylum Court should have initiated proceedings for a preliminary ruling at the ECJ. Another question which needs to be adressed in the initiation proceedings for the preliminary ruling is that of the systemic failure of the Greek asylum system and the risk of a violation of Art 3 ECHR and whether this results in a different Member State being responsible for the asylum procedure.</w:t>
            </w:r>
          </w:p>
        </w:tc>
      </w:tr>
      <w:tr w:rsidR="00AF47B0" w:rsidTr="000B5C1B">
        <w:trPr>
          <w:trHeight w:val="385"/>
        </w:trPr>
        <w:tc>
          <w:tcPr>
            <w:tcW w:w="461" w:type="dxa"/>
            <w:tcBorders>
              <w:top w:val="single" w:sz="4" w:space="0" w:color="auto"/>
              <w:left w:val="single" w:sz="4" w:space="0" w:color="000000"/>
              <w:bottom w:val="single" w:sz="4" w:space="0" w:color="auto"/>
              <w:right w:val="single" w:sz="4" w:space="0" w:color="000000"/>
            </w:tcBorders>
          </w:tcPr>
          <w:p w:rsidR="00AF47B0" w:rsidRDefault="00AF47B0">
            <w:pPr>
              <w:spacing w:after="0" w:line="240" w:lineRule="auto"/>
              <w:rPr>
                <w:rFonts w:cs="Calibri"/>
                <w:b/>
                <w:lang w:val="nl-NL"/>
              </w:rPr>
            </w:pPr>
          </w:p>
        </w:tc>
        <w:tc>
          <w:tcPr>
            <w:tcW w:w="2233" w:type="dxa"/>
            <w:tcBorders>
              <w:top w:val="single" w:sz="4" w:space="0" w:color="auto"/>
              <w:left w:val="single" w:sz="4" w:space="0" w:color="000000"/>
              <w:bottom w:val="single" w:sz="4" w:space="0" w:color="auto"/>
              <w:right w:val="single" w:sz="4" w:space="0" w:color="000000"/>
            </w:tcBorders>
            <w:hideMark/>
          </w:tcPr>
          <w:p w:rsidR="00AF47B0" w:rsidRDefault="0054557A" w:rsidP="0054557A">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AF47B0" w:rsidRDefault="00AF47B0">
            <w:pPr>
              <w:spacing w:after="0" w:line="240" w:lineRule="auto"/>
              <w:rPr>
                <w:rFonts w:cs="Calibri"/>
                <w:b/>
                <w:lang w:val="nl-NL"/>
              </w:rPr>
            </w:pPr>
          </w:p>
        </w:tc>
      </w:tr>
      <w:tr w:rsidR="00AF47B0" w:rsidTr="000B5C1B">
        <w:trPr>
          <w:trHeight w:val="325"/>
        </w:trPr>
        <w:tc>
          <w:tcPr>
            <w:tcW w:w="461" w:type="dxa"/>
            <w:tcBorders>
              <w:top w:val="single" w:sz="4" w:space="0" w:color="auto"/>
              <w:left w:val="single" w:sz="4" w:space="0" w:color="000000"/>
              <w:bottom w:val="single" w:sz="4" w:space="0" w:color="auto"/>
              <w:right w:val="single" w:sz="4" w:space="0" w:color="000000"/>
            </w:tcBorders>
          </w:tcPr>
          <w:p w:rsidR="00AF47B0" w:rsidRDefault="00AF47B0">
            <w:pPr>
              <w:spacing w:after="0" w:line="240" w:lineRule="auto"/>
              <w:rPr>
                <w:rFonts w:cs="Calibri"/>
                <w:lang w:val="nl-NL"/>
              </w:rPr>
            </w:pPr>
          </w:p>
        </w:tc>
        <w:tc>
          <w:tcPr>
            <w:tcW w:w="2233" w:type="dxa"/>
            <w:tcBorders>
              <w:top w:val="single" w:sz="4" w:space="0" w:color="auto"/>
              <w:left w:val="single" w:sz="4" w:space="0" w:color="000000"/>
              <w:bottom w:val="single" w:sz="4" w:space="0" w:color="auto"/>
              <w:right w:val="single" w:sz="4" w:space="0" w:color="000000"/>
            </w:tcBorders>
            <w:hideMark/>
          </w:tcPr>
          <w:p w:rsidR="00AF47B0" w:rsidRDefault="0054557A">
            <w:pPr>
              <w:spacing w:after="0" w:line="240" w:lineRule="auto"/>
              <w:rPr>
                <w:rFonts w:cs="Calibri"/>
                <w:i/>
                <w:lang w:val="en-US"/>
              </w:rPr>
            </w:pPr>
            <w:r>
              <w:rPr>
                <w:rFonts w:cs="Calibri"/>
                <w:i/>
                <w:lang w:val="en-US"/>
              </w:rPr>
              <w:t>Outcome of proceedings</w:t>
            </w:r>
          </w:p>
        </w:tc>
        <w:tc>
          <w:tcPr>
            <w:tcW w:w="6770" w:type="dxa"/>
            <w:gridSpan w:val="2"/>
            <w:tcBorders>
              <w:top w:val="single" w:sz="4" w:space="0" w:color="auto"/>
              <w:left w:val="single" w:sz="4" w:space="0" w:color="000000"/>
              <w:bottom w:val="single" w:sz="4" w:space="0" w:color="auto"/>
              <w:right w:val="single" w:sz="4" w:space="0" w:color="000000"/>
            </w:tcBorders>
          </w:tcPr>
          <w:p w:rsidR="00AF47B0" w:rsidRDefault="0054557A">
            <w:pPr>
              <w:spacing w:after="0" w:line="240" w:lineRule="auto"/>
              <w:rPr>
                <w:rFonts w:cs="Calibri"/>
                <w:bCs/>
                <w:lang w:val="nl-NL"/>
              </w:rPr>
            </w:pPr>
            <w:r>
              <w:rPr>
                <w:rFonts w:cs="Calibri"/>
                <w:bCs/>
                <w:lang w:val="nl-NL"/>
              </w:rPr>
              <w:t>The procedure was returned to the Asylum Court which has to initiate proceedings for a preliminary ruling at the ECJ.</w:t>
            </w:r>
          </w:p>
        </w:tc>
      </w:tr>
      <w:tr w:rsidR="00AF47B0" w:rsidTr="000B5C1B">
        <w:tc>
          <w:tcPr>
            <w:tcW w:w="2694" w:type="dxa"/>
            <w:gridSpan w:val="2"/>
            <w:tcBorders>
              <w:top w:val="nil"/>
              <w:left w:val="single" w:sz="4" w:space="0" w:color="000000"/>
              <w:bottom w:val="single" w:sz="4" w:space="0" w:color="000000"/>
              <w:right w:val="single" w:sz="4" w:space="0" w:color="000000"/>
            </w:tcBorders>
            <w:hideMark/>
          </w:tcPr>
          <w:p w:rsidR="00AF47B0" w:rsidRDefault="0054557A">
            <w:pPr>
              <w:spacing w:after="0" w:line="240" w:lineRule="auto"/>
              <w:rPr>
                <w:rFonts w:cs="Calibri"/>
                <w:lang w:val="en-US"/>
              </w:rPr>
            </w:pPr>
            <w:r>
              <w:rPr>
                <w:rFonts w:cs="Calibri"/>
                <w:lang w:val="en-US"/>
              </w:rPr>
              <w:t>Subsequent Proceedings</w:t>
            </w:r>
          </w:p>
        </w:tc>
        <w:tc>
          <w:tcPr>
            <w:tcW w:w="6770" w:type="dxa"/>
            <w:gridSpan w:val="2"/>
            <w:tcBorders>
              <w:top w:val="single" w:sz="4" w:space="0" w:color="000000"/>
              <w:left w:val="single" w:sz="4" w:space="0" w:color="000000"/>
              <w:bottom w:val="single" w:sz="4" w:space="0" w:color="000000"/>
              <w:right w:val="single" w:sz="4" w:space="0" w:color="000000"/>
            </w:tcBorders>
          </w:tcPr>
          <w:p w:rsidR="00AF47B0" w:rsidRDefault="00AF47B0">
            <w:pPr>
              <w:spacing w:after="0" w:line="240" w:lineRule="auto"/>
              <w:jc w:val="both"/>
              <w:rPr>
                <w:rFonts w:cs="Calibri"/>
                <w:b/>
                <w:lang w:val="nl-NL"/>
              </w:rPr>
            </w:pPr>
          </w:p>
        </w:tc>
      </w:tr>
      <w:tr w:rsidR="00AF47B0" w:rsidTr="000B5C1B">
        <w:tc>
          <w:tcPr>
            <w:tcW w:w="2694" w:type="dxa"/>
            <w:gridSpan w:val="2"/>
            <w:tcBorders>
              <w:top w:val="single" w:sz="4"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AF47B0" w:rsidRDefault="0054557A">
            <w:pPr>
              <w:spacing w:after="0" w:line="240" w:lineRule="auto"/>
              <w:rPr>
                <w:rFonts w:cs="Calibri"/>
                <w:b/>
                <w:lang w:val="en-US"/>
              </w:rPr>
            </w:pPr>
            <w:r>
              <w:rPr>
                <w:rFonts w:cs="Calibri"/>
                <w:b/>
                <w:lang w:val="en-US"/>
              </w:rPr>
              <w:t>Art 17, Art 10, Art 3 (2)</w:t>
            </w:r>
          </w:p>
        </w:tc>
      </w:tr>
      <w:tr w:rsidR="00AF47B0" w:rsidTr="000B5C1B">
        <w:trPr>
          <w:cantSplit/>
        </w:trPr>
        <w:tc>
          <w:tcPr>
            <w:tcW w:w="2694" w:type="dxa"/>
            <w:gridSpan w:val="2"/>
            <w:vMerge w:val="restart"/>
            <w:tcBorders>
              <w:top w:val="single" w:sz="4" w:space="0" w:color="000000"/>
              <w:left w:val="single" w:sz="4" w:space="0" w:color="000000"/>
              <w:right w:val="single" w:sz="4" w:space="0" w:color="000000"/>
            </w:tcBorders>
            <w:hideMark/>
          </w:tcPr>
          <w:p w:rsidR="00AF47B0" w:rsidRDefault="0054557A">
            <w:pPr>
              <w:spacing w:after="0" w:line="240" w:lineRule="auto"/>
              <w:rPr>
                <w:rFonts w:cs="Calibri"/>
                <w:bCs/>
                <w:lang w:val="en-US"/>
              </w:rPr>
            </w:pPr>
            <w:r>
              <w:rPr>
                <w:rFonts w:cs="Calibri"/>
                <w:bCs/>
                <w:lang w:val="en-US"/>
              </w:rPr>
              <w:t xml:space="preserve">Legal provisions cited </w:t>
            </w:r>
          </w:p>
          <w:p w:rsidR="00AF47B0" w:rsidRDefault="0054557A">
            <w:pPr>
              <w:spacing w:after="0" w:line="240" w:lineRule="auto"/>
              <w:rPr>
                <w:rFonts w:cs="Calibri"/>
                <w:bCs/>
                <w:lang w:val="en-US"/>
              </w:rPr>
            </w:pPr>
            <w:r>
              <w:rPr>
                <w:rFonts w:cs="Calibri"/>
                <w:bCs/>
                <w:lang w:val="en-US"/>
              </w:rPr>
              <w:t>(national &amp; international references)</w:t>
            </w:r>
          </w:p>
        </w:tc>
        <w:tc>
          <w:tcPr>
            <w:tcW w:w="3017" w:type="dxa"/>
            <w:tcBorders>
              <w:top w:val="single" w:sz="4" w:space="0" w:color="000000"/>
              <w:left w:val="single" w:sz="4" w:space="0" w:color="000000"/>
              <w:bottom w:val="single" w:sz="4" w:space="0" w:color="000000"/>
              <w:right w:val="single" w:sz="4" w:space="0" w:color="000000"/>
            </w:tcBorders>
          </w:tcPr>
          <w:p w:rsidR="00AF47B0" w:rsidRDefault="0054557A">
            <w:pPr>
              <w:spacing w:after="0" w:line="240" w:lineRule="auto"/>
              <w:rPr>
                <w:rFonts w:cs="Calibri"/>
                <w:bCs/>
                <w:i/>
                <w:iCs/>
                <w:lang w:val="en-US"/>
              </w:rPr>
            </w:pPr>
            <w:r>
              <w:rPr>
                <w:rFonts w:cs="Calibri"/>
                <w:bCs/>
                <w:i/>
                <w:iCs/>
                <w:lang w:val="en-US"/>
              </w:rPr>
              <w:t>Legislation</w:t>
            </w:r>
          </w:p>
        </w:tc>
        <w:tc>
          <w:tcPr>
            <w:tcW w:w="3753" w:type="dxa"/>
            <w:tcBorders>
              <w:top w:val="single" w:sz="4"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bCs/>
                <w:i/>
                <w:iCs/>
                <w:lang w:val="en-US"/>
              </w:rPr>
            </w:pPr>
            <w:r>
              <w:rPr>
                <w:rFonts w:cs="Calibri"/>
                <w:bCs/>
                <w:i/>
                <w:iCs/>
                <w:lang w:val="en-US"/>
              </w:rPr>
              <w:t>Articles</w:t>
            </w:r>
          </w:p>
        </w:tc>
      </w:tr>
      <w:tr w:rsidR="00AF47B0" w:rsidTr="000B5C1B">
        <w:trPr>
          <w:cantSplit/>
        </w:trPr>
        <w:tc>
          <w:tcPr>
            <w:tcW w:w="2694" w:type="dxa"/>
            <w:gridSpan w:val="2"/>
            <w:vMerge/>
            <w:tcBorders>
              <w:left w:val="single" w:sz="4" w:space="0" w:color="000000"/>
              <w:right w:val="single" w:sz="4" w:space="0" w:color="000000"/>
            </w:tcBorders>
            <w:vAlign w:val="center"/>
            <w:hideMark/>
          </w:tcPr>
          <w:p w:rsidR="00AF47B0" w:rsidRDefault="00AF47B0">
            <w:pPr>
              <w:spacing w:after="0" w:line="240" w:lineRule="auto"/>
              <w:rPr>
                <w:rFonts w:cs="Calibri"/>
                <w:bCs/>
                <w:lang w:val="en-US"/>
              </w:rPr>
            </w:pPr>
          </w:p>
        </w:tc>
        <w:tc>
          <w:tcPr>
            <w:tcW w:w="3017" w:type="dxa"/>
            <w:tcBorders>
              <w:top w:val="single" w:sz="4" w:space="0" w:color="000000"/>
              <w:left w:val="single" w:sz="4" w:space="0" w:color="000000"/>
              <w:bottom w:val="dashed" w:sz="4" w:space="0" w:color="auto"/>
              <w:right w:val="dashed" w:sz="4" w:space="0" w:color="auto"/>
            </w:tcBorders>
          </w:tcPr>
          <w:p w:rsidR="00AF47B0" w:rsidRDefault="0054557A">
            <w:pPr>
              <w:spacing w:after="0" w:line="100" w:lineRule="atLeast"/>
              <w:rPr>
                <w:rFonts w:cs="Calibri"/>
                <w:bCs/>
                <w:lang w:val="en-US"/>
              </w:rPr>
            </w:pPr>
            <w:r>
              <w:rPr>
                <w:rFonts w:cs="Calibri"/>
                <w:bCs/>
                <w:lang w:val="en-US"/>
              </w:rPr>
              <w:t>TFEU</w:t>
            </w:r>
          </w:p>
        </w:tc>
        <w:tc>
          <w:tcPr>
            <w:tcW w:w="3753" w:type="dxa"/>
            <w:tcBorders>
              <w:top w:val="single" w:sz="4" w:space="0" w:color="000000"/>
              <w:left w:val="dashed" w:sz="4" w:space="0" w:color="auto"/>
              <w:bottom w:val="dashed" w:sz="4" w:space="0" w:color="auto"/>
              <w:right w:val="single" w:sz="4" w:space="0" w:color="000000"/>
            </w:tcBorders>
          </w:tcPr>
          <w:p w:rsidR="00AF47B0" w:rsidRDefault="0054557A">
            <w:pPr>
              <w:spacing w:after="0" w:line="100" w:lineRule="atLeast"/>
              <w:rPr>
                <w:rFonts w:cs="Calibri"/>
                <w:bCs/>
                <w:lang w:val="en-US"/>
              </w:rPr>
            </w:pPr>
            <w:r>
              <w:rPr>
                <w:rFonts w:cs="Calibri"/>
                <w:bCs/>
                <w:lang w:val="en-US"/>
              </w:rPr>
              <w:t>Art 267</w:t>
            </w:r>
          </w:p>
        </w:tc>
      </w:tr>
      <w:tr w:rsidR="00AF47B0" w:rsidTr="000B5C1B">
        <w:trPr>
          <w:cantSplit/>
        </w:trPr>
        <w:tc>
          <w:tcPr>
            <w:tcW w:w="2694" w:type="dxa"/>
            <w:gridSpan w:val="2"/>
            <w:vMerge/>
            <w:tcBorders>
              <w:left w:val="single" w:sz="4" w:space="0" w:color="000000"/>
              <w:right w:val="single" w:sz="4" w:space="0" w:color="000000"/>
            </w:tcBorders>
            <w:vAlign w:val="center"/>
            <w:hideMark/>
          </w:tcPr>
          <w:p w:rsidR="00AF47B0" w:rsidRDefault="00AF47B0">
            <w:pPr>
              <w:spacing w:after="0" w:line="240" w:lineRule="auto"/>
              <w:rPr>
                <w:rFonts w:cs="Calibri"/>
                <w:bCs/>
                <w:lang w:val="en-US"/>
              </w:rPr>
            </w:pPr>
          </w:p>
        </w:tc>
        <w:tc>
          <w:tcPr>
            <w:tcW w:w="3017" w:type="dxa"/>
            <w:tcBorders>
              <w:top w:val="dashed" w:sz="4" w:space="0" w:color="auto"/>
              <w:left w:val="single" w:sz="4" w:space="0" w:color="000000"/>
              <w:bottom w:val="single" w:sz="4" w:space="0" w:color="000000"/>
              <w:right w:val="dashed" w:sz="4" w:space="0" w:color="auto"/>
            </w:tcBorders>
          </w:tcPr>
          <w:p w:rsidR="00AF47B0" w:rsidRDefault="0054557A">
            <w:pPr>
              <w:spacing w:after="0" w:line="100" w:lineRule="atLeast"/>
              <w:rPr>
                <w:rFonts w:cs="Calibri"/>
                <w:bCs/>
                <w:lang w:val="en-US"/>
              </w:rPr>
            </w:pPr>
            <w:r>
              <w:rPr>
                <w:rFonts w:cs="Calibri"/>
                <w:bCs/>
                <w:lang w:val="en-US"/>
              </w:rPr>
              <w:t>Asylum Law (</w:t>
            </w:r>
            <w:proofErr w:type="spellStart"/>
            <w:r>
              <w:rPr>
                <w:rFonts w:cs="Calibri"/>
                <w:bCs/>
                <w:lang w:val="en-US"/>
              </w:rPr>
              <w:t>Asylgesetz</w:t>
            </w:r>
            <w:proofErr w:type="spellEnd"/>
            <w:r>
              <w:rPr>
                <w:rFonts w:cs="Calibri"/>
                <w:bCs/>
                <w:lang w:val="en-US"/>
              </w:rPr>
              <w:t xml:space="preserve"> 2005)</w:t>
            </w:r>
          </w:p>
        </w:tc>
        <w:tc>
          <w:tcPr>
            <w:tcW w:w="3753" w:type="dxa"/>
            <w:tcBorders>
              <w:top w:val="dashed" w:sz="4" w:space="0" w:color="auto"/>
              <w:left w:val="dashed" w:sz="4" w:space="0" w:color="auto"/>
              <w:bottom w:val="single" w:sz="4" w:space="0" w:color="000000"/>
              <w:right w:val="single" w:sz="4" w:space="0" w:color="000000"/>
            </w:tcBorders>
          </w:tcPr>
          <w:p w:rsidR="00AF47B0" w:rsidRDefault="0054557A">
            <w:pPr>
              <w:spacing w:after="0" w:line="100" w:lineRule="atLeast"/>
              <w:rPr>
                <w:rFonts w:cs="Calibri"/>
                <w:bCs/>
                <w:lang w:val="en-US"/>
              </w:rPr>
            </w:pPr>
            <w:r>
              <w:rPr>
                <w:rFonts w:cs="Calibri"/>
                <w:bCs/>
                <w:lang w:val="en-US"/>
              </w:rPr>
              <w:t>§§ 5, 10</w:t>
            </w:r>
          </w:p>
        </w:tc>
      </w:tr>
      <w:tr w:rsidR="00AF47B0" w:rsidTr="000B5C1B">
        <w:trPr>
          <w:cantSplit/>
        </w:trPr>
        <w:tc>
          <w:tcPr>
            <w:tcW w:w="2694" w:type="dxa"/>
            <w:gridSpan w:val="2"/>
            <w:vMerge/>
            <w:tcBorders>
              <w:left w:val="single" w:sz="4" w:space="0" w:color="000000"/>
              <w:bottom w:val="single" w:sz="4" w:space="0" w:color="000000"/>
              <w:right w:val="single" w:sz="4" w:space="0" w:color="000000"/>
            </w:tcBorders>
            <w:vAlign w:val="center"/>
            <w:hideMark/>
          </w:tcPr>
          <w:p w:rsidR="00AF47B0" w:rsidRDefault="00AF47B0">
            <w:pPr>
              <w:spacing w:after="0" w:line="240" w:lineRule="auto"/>
              <w:rPr>
                <w:rFonts w:cs="Calibri"/>
                <w:bCs/>
                <w:lang w:val="en-US"/>
              </w:rPr>
            </w:pPr>
          </w:p>
        </w:tc>
        <w:tc>
          <w:tcPr>
            <w:tcW w:w="3017" w:type="dxa"/>
            <w:tcBorders>
              <w:top w:val="dashed" w:sz="4" w:space="0" w:color="auto"/>
              <w:left w:val="single" w:sz="4" w:space="0" w:color="000000"/>
              <w:bottom w:val="single" w:sz="4" w:space="0" w:color="000000"/>
              <w:right w:val="dashed" w:sz="4" w:space="0" w:color="auto"/>
            </w:tcBorders>
          </w:tcPr>
          <w:p w:rsidR="00AF47B0" w:rsidRDefault="0054557A">
            <w:pPr>
              <w:spacing w:after="0" w:line="100" w:lineRule="atLeast"/>
              <w:rPr>
                <w:rFonts w:cs="Calibri"/>
                <w:bCs/>
                <w:lang w:val="en-US"/>
              </w:rPr>
            </w:pPr>
            <w:r>
              <w:rPr>
                <w:rFonts w:cs="Calibri"/>
                <w:bCs/>
                <w:lang w:val="en-US"/>
              </w:rPr>
              <w:t>B-VG</w:t>
            </w:r>
          </w:p>
        </w:tc>
        <w:tc>
          <w:tcPr>
            <w:tcW w:w="3753" w:type="dxa"/>
            <w:tcBorders>
              <w:top w:val="dashed" w:sz="4" w:space="0" w:color="auto"/>
              <w:left w:val="dashed" w:sz="4" w:space="0" w:color="auto"/>
              <w:bottom w:val="single" w:sz="4" w:space="0" w:color="000000"/>
              <w:right w:val="single" w:sz="4" w:space="0" w:color="000000"/>
            </w:tcBorders>
          </w:tcPr>
          <w:p w:rsidR="00AF47B0" w:rsidRDefault="0054557A">
            <w:pPr>
              <w:spacing w:after="0" w:line="100" w:lineRule="atLeast"/>
              <w:rPr>
                <w:rFonts w:cs="Calibri"/>
                <w:bCs/>
                <w:lang w:val="en-US"/>
              </w:rPr>
            </w:pPr>
            <w:r>
              <w:rPr>
                <w:rFonts w:cs="Calibri"/>
                <w:bCs/>
                <w:lang w:val="en-US"/>
              </w:rPr>
              <w:t>Art 129 c, Art 129d (4)</w:t>
            </w:r>
          </w:p>
        </w:tc>
      </w:tr>
      <w:tr w:rsidR="00AF47B0" w:rsidTr="000B5C1B">
        <w:trPr>
          <w:cantSplit/>
          <w:trHeight w:val="304"/>
        </w:trPr>
        <w:tc>
          <w:tcPr>
            <w:tcW w:w="2694" w:type="dxa"/>
            <w:gridSpan w:val="2"/>
            <w:vMerge w:val="restart"/>
            <w:tcBorders>
              <w:top w:val="single" w:sz="4" w:space="0" w:color="000000"/>
              <w:left w:val="single" w:sz="4" w:space="0" w:color="000000"/>
              <w:right w:val="single" w:sz="4" w:space="0" w:color="000000"/>
            </w:tcBorders>
            <w:hideMark/>
          </w:tcPr>
          <w:p w:rsidR="00AF47B0" w:rsidRDefault="0054557A">
            <w:pPr>
              <w:spacing w:after="0" w:line="240" w:lineRule="auto"/>
              <w:rPr>
                <w:rFonts w:cs="Calibri"/>
                <w:bCs/>
                <w:lang w:val="en-US"/>
              </w:rPr>
            </w:pPr>
            <w:r>
              <w:rPr>
                <w:rFonts w:cs="Calibri"/>
                <w:bCs/>
                <w:lang w:val="en-US"/>
              </w:rPr>
              <w:t>Case law cited</w:t>
            </w:r>
          </w:p>
          <w:p w:rsidR="00AF47B0" w:rsidRDefault="0054557A">
            <w:pPr>
              <w:spacing w:after="0" w:line="240" w:lineRule="auto"/>
              <w:rPr>
                <w:rFonts w:cs="Calibri"/>
                <w:bCs/>
                <w:lang w:val="en-US"/>
              </w:rPr>
            </w:pPr>
            <w:r>
              <w:rPr>
                <w:rFonts w:cs="Calibri"/>
                <w:bCs/>
                <w:lang w:val="en-US"/>
              </w:rPr>
              <w:t>(national &amp; international references)</w:t>
            </w:r>
          </w:p>
        </w:tc>
        <w:tc>
          <w:tcPr>
            <w:tcW w:w="3017" w:type="dxa"/>
            <w:tcBorders>
              <w:top w:val="single" w:sz="4" w:space="0" w:color="000000"/>
              <w:left w:val="single" w:sz="4" w:space="0" w:color="000000"/>
              <w:bottom w:val="single" w:sz="4" w:space="0" w:color="000000"/>
              <w:right w:val="single" w:sz="4" w:space="0" w:color="000000"/>
            </w:tcBorders>
          </w:tcPr>
          <w:p w:rsidR="00AF47B0" w:rsidRDefault="0054557A">
            <w:pPr>
              <w:spacing w:after="0" w:line="240" w:lineRule="auto"/>
              <w:rPr>
                <w:rFonts w:cs="Calibri"/>
                <w:bCs/>
                <w:i/>
                <w:iCs/>
                <w:lang w:val="en-US"/>
              </w:rPr>
            </w:pPr>
            <w:r>
              <w:rPr>
                <w:rFonts w:cs="Calibri"/>
                <w:bCs/>
                <w:i/>
                <w:iCs/>
                <w:lang w:val="en-US"/>
              </w:rPr>
              <w:t>Court name</w:t>
            </w:r>
          </w:p>
        </w:tc>
        <w:tc>
          <w:tcPr>
            <w:tcW w:w="3753" w:type="dxa"/>
            <w:tcBorders>
              <w:top w:val="single" w:sz="4"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bCs/>
                <w:i/>
                <w:iCs/>
                <w:lang w:val="en-US"/>
              </w:rPr>
            </w:pPr>
            <w:r>
              <w:rPr>
                <w:rFonts w:cs="Calibri"/>
                <w:bCs/>
                <w:i/>
                <w:iCs/>
                <w:lang w:val="en-US"/>
              </w:rPr>
              <w:t>Neutral citation</w:t>
            </w:r>
          </w:p>
        </w:tc>
      </w:tr>
      <w:tr w:rsidR="00AF47B0" w:rsidTr="000B5C1B">
        <w:trPr>
          <w:cantSplit/>
          <w:trHeight w:val="266"/>
        </w:trPr>
        <w:tc>
          <w:tcPr>
            <w:tcW w:w="2694" w:type="dxa"/>
            <w:gridSpan w:val="2"/>
            <w:vMerge/>
            <w:tcBorders>
              <w:left w:val="single" w:sz="4" w:space="0" w:color="000000"/>
              <w:right w:val="single" w:sz="4" w:space="0" w:color="000000"/>
            </w:tcBorders>
            <w:vAlign w:val="center"/>
            <w:hideMark/>
          </w:tcPr>
          <w:p w:rsidR="00AF47B0" w:rsidRDefault="00AF47B0">
            <w:pPr>
              <w:spacing w:after="0" w:line="240" w:lineRule="auto"/>
              <w:rPr>
                <w:rFonts w:cs="Calibri"/>
                <w:bCs/>
                <w:lang w:val="en-US"/>
              </w:rPr>
            </w:pPr>
          </w:p>
        </w:tc>
        <w:tc>
          <w:tcPr>
            <w:tcW w:w="3017" w:type="dxa"/>
            <w:tcBorders>
              <w:top w:val="single" w:sz="4" w:space="0" w:color="000000"/>
              <w:left w:val="single" w:sz="4" w:space="0" w:color="000000"/>
              <w:bottom w:val="dashed" w:sz="4" w:space="0" w:color="auto"/>
              <w:right w:val="dashed" w:sz="4" w:space="0" w:color="auto"/>
            </w:tcBorders>
          </w:tcPr>
          <w:p w:rsidR="00AF47B0" w:rsidRDefault="0054557A">
            <w:pPr>
              <w:spacing w:after="0" w:line="100" w:lineRule="atLeast"/>
              <w:rPr>
                <w:rFonts w:cs="Calibri"/>
                <w:bCs/>
                <w:lang w:val="en-US"/>
              </w:rPr>
            </w:pPr>
            <w:r>
              <w:rPr>
                <w:rFonts w:cs="Calibri"/>
                <w:bCs/>
                <w:lang w:val="en-US"/>
              </w:rPr>
              <w:t>ECJ</w:t>
            </w:r>
          </w:p>
        </w:tc>
        <w:tc>
          <w:tcPr>
            <w:tcW w:w="3753" w:type="dxa"/>
            <w:tcBorders>
              <w:top w:val="single" w:sz="4" w:space="0" w:color="000000"/>
              <w:left w:val="dashed" w:sz="4" w:space="0" w:color="auto"/>
              <w:bottom w:val="dashed" w:sz="4" w:space="0" w:color="auto"/>
              <w:right w:val="single" w:sz="4" w:space="0" w:color="000000"/>
            </w:tcBorders>
          </w:tcPr>
          <w:p w:rsidR="00AF47B0" w:rsidRDefault="0054557A">
            <w:pPr>
              <w:spacing w:after="0" w:line="100" w:lineRule="atLeast"/>
              <w:rPr>
                <w:rFonts w:cs="Calibri"/>
                <w:bCs/>
                <w:lang w:val="en-US"/>
              </w:rPr>
            </w:pPr>
            <w:r>
              <w:rPr>
                <w:rFonts w:cs="Calibri"/>
                <w:bCs/>
                <w:lang w:val="en-US"/>
              </w:rPr>
              <w:t>C-411/10</w:t>
            </w:r>
          </w:p>
          <w:p w:rsidR="00AF47B0" w:rsidRDefault="0054557A">
            <w:pPr>
              <w:spacing w:after="0" w:line="100" w:lineRule="atLeast"/>
              <w:rPr>
                <w:rFonts w:cs="Calibri"/>
                <w:bCs/>
                <w:lang w:val="en-US"/>
              </w:rPr>
            </w:pPr>
            <w:r>
              <w:rPr>
                <w:rFonts w:cs="Calibri"/>
                <w:bCs/>
                <w:lang w:val="en-US"/>
              </w:rPr>
              <w:t>C-493/10</w:t>
            </w:r>
          </w:p>
        </w:tc>
      </w:tr>
      <w:tr w:rsidR="00AF47B0" w:rsidTr="000B5C1B">
        <w:trPr>
          <w:cantSplit/>
          <w:trHeight w:val="232"/>
        </w:trPr>
        <w:tc>
          <w:tcPr>
            <w:tcW w:w="2694" w:type="dxa"/>
            <w:gridSpan w:val="2"/>
            <w:vMerge/>
            <w:tcBorders>
              <w:left w:val="single" w:sz="4" w:space="0" w:color="000000"/>
              <w:right w:val="single" w:sz="4" w:space="0" w:color="000000"/>
            </w:tcBorders>
            <w:vAlign w:val="center"/>
            <w:hideMark/>
          </w:tcPr>
          <w:p w:rsidR="00AF47B0" w:rsidRDefault="00AF47B0">
            <w:pPr>
              <w:spacing w:after="0" w:line="240" w:lineRule="auto"/>
              <w:rPr>
                <w:rFonts w:cs="Calibri"/>
                <w:bCs/>
                <w:lang w:val="en-US"/>
              </w:rPr>
            </w:pPr>
          </w:p>
        </w:tc>
        <w:tc>
          <w:tcPr>
            <w:tcW w:w="3017" w:type="dxa"/>
            <w:tcBorders>
              <w:top w:val="dashed" w:sz="4" w:space="0" w:color="auto"/>
              <w:left w:val="single" w:sz="4" w:space="0" w:color="000000"/>
              <w:bottom w:val="single" w:sz="4" w:space="0" w:color="000000"/>
              <w:right w:val="dashed" w:sz="4" w:space="0" w:color="auto"/>
            </w:tcBorders>
          </w:tcPr>
          <w:p w:rsidR="00AF47B0" w:rsidRDefault="0054557A">
            <w:pPr>
              <w:spacing w:after="0" w:line="100" w:lineRule="atLeast"/>
              <w:rPr>
                <w:rFonts w:cs="Calibri"/>
                <w:bCs/>
                <w:lang w:val="en-US"/>
              </w:rPr>
            </w:pPr>
            <w:r>
              <w:rPr>
                <w:rFonts w:cs="Calibri"/>
                <w:bCs/>
                <w:lang w:val="en-US"/>
              </w:rPr>
              <w:t>Constitutional Court (</w:t>
            </w:r>
            <w:proofErr w:type="spellStart"/>
            <w:r>
              <w:rPr>
                <w:rFonts w:cs="Calibri"/>
                <w:bCs/>
                <w:lang w:val="en-US"/>
              </w:rPr>
              <w:t>VfGH</w:t>
            </w:r>
            <w:proofErr w:type="spellEnd"/>
            <w:r>
              <w:rPr>
                <w:rFonts w:cs="Calibri"/>
                <w:bCs/>
                <w:lang w:val="en-US"/>
              </w:rPr>
              <w:t>)</w:t>
            </w:r>
          </w:p>
        </w:tc>
        <w:tc>
          <w:tcPr>
            <w:tcW w:w="3753" w:type="dxa"/>
            <w:tcBorders>
              <w:top w:val="dashed" w:sz="4" w:space="0" w:color="auto"/>
              <w:left w:val="dashed" w:sz="4" w:space="0" w:color="auto"/>
              <w:bottom w:val="single" w:sz="4" w:space="0" w:color="000000"/>
              <w:right w:val="single" w:sz="4" w:space="0" w:color="000000"/>
            </w:tcBorders>
          </w:tcPr>
          <w:p w:rsidR="00AF47B0" w:rsidRDefault="0054557A">
            <w:pPr>
              <w:spacing w:after="0" w:line="100" w:lineRule="atLeast"/>
              <w:rPr>
                <w:rFonts w:cs="Calibri"/>
                <w:bCs/>
                <w:lang w:val="en-US"/>
              </w:rPr>
            </w:pPr>
            <w:proofErr w:type="spellStart"/>
            <w:r>
              <w:rPr>
                <w:rFonts w:cs="Calibri"/>
                <w:bCs/>
                <w:lang w:val="en-US"/>
              </w:rPr>
              <w:t>VfSlg</w:t>
            </w:r>
            <w:proofErr w:type="spellEnd"/>
            <w:r>
              <w:rPr>
                <w:rFonts w:cs="Calibri"/>
                <w:bCs/>
                <w:lang w:val="en-US"/>
              </w:rPr>
              <w:t xml:space="preserve"> 18.752/2009</w:t>
            </w:r>
          </w:p>
          <w:p w:rsidR="00AF47B0" w:rsidRDefault="0054557A">
            <w:pPr>
              <w:spacing w:after="0" w:line="100" w:lineRule="atLeast"/>
              <w:rPr>
                <w:rFonts w:cs="Calibri"/>
                <w:bCs/>
                <w:lang w:val="en-US"/>
              </w:rPr>
            </w:pPr>
            <w:proofErr w:type="spellStart"/>
            <w:r>
              <w:rPr>
                <w:rFonts w:cs="Calibri"/>
                <w:bCs/>
                <w:lang w:val="en-US"/>
              </w:rPr>
              <w:t>VfSlg</w:t>
            </w:r>
            <w:proofErr w:type="spellEnd"/>
            <w:r>
              <w:rPr>
                <w:rFonts w:cs="Calibri"/>
                <w:bCs/>
                <w:lang w:val="en-US"/>
              </w:rPr>
              <w:t xml:space="preserve"> 16.118/2001, 16.2001</w:t>
            </w:r>
          </w:p>
        </w:tc>
      </w:tr>
      <w:tr w:rsidR="00AF47B0" w:rsidTr="000B5C1B">
        <w:trPr>
          <w:cantSplit/>
          <w:trHeight w:val="232"/>
        </w:trPr>
        <w:tc>
          <w:tcPr>
            <w:tcW w:w="2694" w:type="dxa"/>
            <w:gridSpan w:val="2"/>
            <w:vMerge/>
            <w:tcBorders>
              <w:left w:val="single" w:sz="4" w:space="0" w:color="000000"/>
              <w:bottom w:val="single" w:sz="4" w:space="0" w:color="000000"/>
              <w:right w:val="single" w:sz="4" w:space="0" w:color="000000"/>
            </w:tcBorders>
            <w:vAlign w:val="center"/>
            <w:hideMark/>
          </w:tcPr>
          <w:p w:rsidR="00AF47B0" w:rsidRDefault="00AF47B0">
            <w:pPr>
              <w:spacing w:after="0" w:line="240" w:lineRule="auto"/>
              <w:rPr>
                <w:rFonts w:cs="Calibri"/>
                <w:bCs/>
                <w:lang w:val="en-US"/>
              </w:rPr>
            </w:pPr>
          </w:p>
        </w:tc>
        <w:tc>
          <w:tcPr>
            <w:tcW w:w="3017" w:type="dxa"/>
            <w:tcBorders>
              <w:top w:val="dashed" w:sz="4" w:space="0" w:color="auto"/>
              <w:left w:val="single" w:sz="4" w:space="0" w:color="000000"/>
              <w:bottom w:val="single" w:sz="4" w:space="0" w:color="000000"/>
              <w:right w:val="dashed" w:sz="4" w:space="0" w:color="auto"/>
            </w:tcBorders>
          </w:tcPr>
          <w:p w:rsidR="00AF47B0" w:rsidRDefault="0054557A">
            <w:pPr>
              <w:spacing w:after="0" w:line="100" w:lineRule="atLeast"/>
              <w:rPr>
                <w:rFonts w:cs="Calibri"/>
                <w:bCs/>
                <w:lang w:val="en-US"/>
              </w:rPr>
            </w:pPr>
            <w:r>
              <w:rPr>
                <w:rFonts w:cs="Calibri"/>
                <w:bCs/>
                <w:lang w:val="en-US"/>
              </w:rPr>
              <w:t>ECHR</w:t>
            </w:r>
          </w:p>
        </w:tc>
        <w:tc>
          <w:tcPr>
            <w:tcW w:w="3753" w:type="dxa"/>
            <w:tcBorders>
              <w:top w:val="dashed" w:sz="4" w:space="0" w:color="auto"/>
              <w:left w:val="dashed" w:sz="4" w:space="0" w:color="auto"/>
              <w:bottom w:val="single" w:sz="4" w:space="0" w:color="000000"/>
              <w:right w:val="single" w:sz="4" w:space="0" w:color="000000"/>
            </w:tcBorders>
          </w:tcPr>
          <w:p w:rsidR="00AF47B0" w:rsidRDefault="0054557A">
            <w:pPr>
              <w:spacing w:after="0" w:line="100" w:lineRule="atLeast"/>
              <w:rPr>
                <w:rFonts w:cs="Calibri"/>
                <w:bCs/>
                <w:lang w:val="en-US"/>
              </w:rPr>
            </w:pPr>
            <w:r>
              <w:rPr>
                <w:rFonts w:cs="Calibri"/>
                <w:bCs/>
                <w:lang w:val="en-US"/>
              </w:rPr>
              <w:t xml:space="preserve">MSS </w:t>
            </w:r>
            <w:proofErr w:type="spellStart"/>
            <w:r>
              <w:rPr>
                <w:rFonts w:cs="Calibri"/>
                <w:bCs/>
                <w:lang w:val="en-US"/>
              </w:rPr>
              <w:t>vs</w:t>
            </w:r>
            <w:proofErr w:type="spellEnd"/>
            <w:r>
              <w:rPr>
                <w:rFonts w:cs="Calibri"/>
                <w:bCs/>
                <w:lang w:val="en-US"/>
              </w:rPr>
              <w:t xml:space="preserve"> Belgium and Greece (appl. no 30.696/09)</w:t>
            </w:r>
          </w:p>
        </w:tc>
      </w:tr>
      <w:tr w:rsidR="00AF47B0" w:rsidTr="000B5C1B">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bCs/>
                <w:lang w:val="en-US"/>
              </w:rPr>
            </w:pPr>
            <w:r>
              <w:rPr>
                <w:rFonts w:cs="Calibri"/>
                <w:bCs/>
                <w:lang w:val="en-US"/>
              </w:rPr>
              <w:t xml:space="preserve">Other sources cited (NGO reports etc) </w:t>
            </w:r>
          </w:p>
        </w:tc>
        <w:tc>
          <w:tcPr>
            <w:tcW w:w="3017" w:type="dxa"/>
            <w:tcBorders>
              <w:top w:val="single" w:sz="4" w:space="0" w:color="000000"/>
              <w:left w:val="single" w:sz="4" w:space="0" w:color="000000"/>
              <w:bottom w:val="single" w:sz="4" w:space="0" w:color="000000"/>
              <w:right w:val="single" w:sz="4" w:space="0" w:color="000000"/>
            </w:tcBorders>
          </w:tcPr>
          <w:p w:rsidR="00AF47B0" w:rsidRDefault="0054557A">
            <w:pPr>
              <w:tabs>
                <w:tab w:val="left" w:pos="1575"/>
              </w:tabs>
              <w:spacing w:after="0" w:line="240" w:lineRule="auto"/>
              <w:rPr>
                <w:rFonts w:cs="Calibri"/>
                <w:bCs/>
                <w:i/>
                <w:iCs/>
                <w:lang w:val="en-US"/>
              </w:rPr>
            </w:pPr>
            <w:r>
              <w:rPr>
                <w:rFonts w:cs="Calibri"/>
                <w:bCs/>
                <w:i/>
                <w:iCs/>
                <w:lang w:val="en-US"/>
              </w:rPr>
              <w:t>Organization</w:t>
            </w:r>
            <w:r>
              <w:rPr>
                <w:rFonts w:cs="Calibri"/>
                <w:bCs/>
                <w:i/>
                <w:iCs/>
                <w:lang w:val="en-US"/>
              </w:rPr>
              <w:tab/>
            </w:r>
          </w:p>
          <w:p w:rsidR="00AF47B0" w:rsidRDefault="00AF47B0">
            <w:pPr>
              <w:tabs>
                <w:tab w:val="left" w:pos="1575"/>
              </w:tabs>
              <w:spacing w:after="0" w:line="240" w:lineRule="auto"/>
              <w:rPr>
                <w:rFonts w:cs="Calibri"/>
                <w:bCs/>
                <w:i/>
                <w:iCs/>
                <w:lang w:val="en-US"/>
              </w:rPr>
            </w:pPr>
          </w:p>
        </w:tc>
        <w:tc>
          <w:tcPr>
            <w:tcW w:w="3753" w:type="dxa"/>
            <w:tcBorders>
              <w:top w:val="single" w:sz="4" w:space="0" w:color="000000"/>
              <w:left w:val="single" w:sz="4" w:space="0" w:color="000000"/>
              <w:bottom w:val="single" w:sz="4" w:space="0" w:color="000000"/>
              <w:right w:val="single" w:sz="4" w:space="0" w:color="000000"/>
            </w:tcBorders>
            <w:hideMark/>
          </w:tcPr>
          <w:p w:rsidR="00AF47B0" w:rsidRDefault="0054557A">
            <w:pPr>
              <w:spacing w:after="0" w:line="240" w:lineRule="auto"/>
              <w:rPr>
                <w:rFonts w:cs="Calibri"/>
                <w:bCs/>
                <w:i/>
                <w:iCs/>
                <w:lang w:val="en-GB"/>
              </w:rPr>
            </w:pPr>
            <w:r>
              <w:rPr>
                <w:rFonts w:cs="Calibri"/>
                <w:bCs/>
                <w:i/>
                <w:iCs/>
                <w:lang w:val="en-GB"/>
              </w:rPr>
              <w:t>Reference</w:t>
            </w:r>
          </w:p>
        </w:tc>
      </w:tr>
      <w:tr w:rsidR="00AF47B0" w:rsidTr="000B5C1B">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AF47B0" w:rsidRDefault="00AF47B0">
            <w:pPr>
              <w:spacing w:after="0" w:line="240" w:lineRule="auto"/>
              <w:rPr>
                <w:rFonts w:cs="Calibri"/>
                <w:bCs/>
                <w:lang w:val="en-GB"/>
              </w:rPr>
            </w:pPr>
          </w:p>
        </w:tc>
        <w:tc>
          <w:tcPr>
            <w:tcW w:w="3017" w:type="dxa"/>
            <w:tcBorders>
              <w:top w:val="single" w:sz="4" w:space="0" w:color="000000"/>
              <w:left w:val="single" w:sz="4" w:space="0" w:color="000000"/>
              <w:bottom w:val="dashed" w:sz="4" w:space="0" w:color="auto"/>
              <w:right w:val="dashed" w:sz="4" w:space="0" w:color="auto"/>
            </w:tcBorders>
          </w:tcPr>
          <w:p w:rsidR="00AF47B0" w:rsidRDefault="00AF47B0">
            <w:pPr>
              <w:spacing w:after="0" w:line="240" w:lineRule="auto"/>
              <w:rPr>
                <w:rFonts w:cs="Calibri"/>
                <w:bCs/>
                <w:lang w:val="en-GB"/>
              </w:rPr>
            </w:pPr>
          </w:p>
        </w:tc>
        <w:tc>
          <w:tcPr>
            <w:tcW w:w="3753" w:type="dxa"/>
            <w:tcBorders>
              <w:top w:val="single" w:sz="4" w:space="0" w:color="000000"/>
              <w:left w:val="dashed" w:sz="4" w:space="0" w:color="auto"/>
              <w:bottom w:val="dashed" w:sz="4" w:space="0" w:color="auto"/>
              <w:right w:val="single" w:sz="4" w:space="0" w:color="000000"/>
            </w:tcBorders>
          </w:tcPr>
          <w:p w:rsidR="00AF47B0" w:rsidRDefault="00AF47B0">
            <w:pPr>
              <w:spacing w:after="0" w:line="240" w:lineRule="auto"/>
              <w:rPr>
                <w:rFonts w:cs="Calibri"/>
                <w:bCs/>
                <w:lang w:val="en-GB"/>
              </w:rPr>
            </w:pPr>
          </w:p>
        </w:tc>
      </w:tr>
      <w:tr w:rsidR="00AF47B0" w:rsidTr="000B5C1B">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AF47B0" w:rsidRDefault="00AF47B0">
            <w:pPr>
              <w:spacing w:after="0" w:line="240" w:lineRule="auto"/>
              <w:rPr>
                <w:rFonts w:cs="Calibri"/>
                <w:bCs/>
                <w:lang w:val="en-GB"/>
              </w:rPr>
            </w:pPr>
          </w:p>
        </w:tc>
        <w:tc>
          <w:tcPr>
            <w:tcW w:w="3017" w:type="dxa"/>
            <w:tcBorders>
              <w:top w:val="dashed" w:sz="4" w:space="0" w:color="auto"/>
              <w:left w:val="single" w:sz="4" w:space="0" w:color="000000"/>
              <w:bottom w:val="single" w:sz="4" w:space="0" w:color="000000"/>
              <w:right w:val="dashed" w:sz="4" w:space="0" w:color="auto"/>
            </w:tcBorders>
          </w:tcPr>
          <w:p w:rsidR="00AF47B0" w:rsidRDefault="00AF47B0">
            <w:pPr>
              <w:spacing w:after="0" w:line="240" w:lineRule="auto"/>
              <w:rPr>
                <w:rFonts w:cs="Calibri"/>
                <w:b/>
                <w:lang w:val="en-GB"/>
              </w:rPr>
            </w:pPr>
          </w:p>
        </w:tc>
        <w:tc>
          <w:tcPr>
            <w:tcW w:w="3753" w:type="dxa"/>
            <w:tcBorders>
              <w:top w:val="dashed" w:sz="4" w:space="0" w:color="auto"/>
              <w:left w:val="dashed" w:sz="4" w:space="0" w:color="auto"/>
              <w:bottom w:val="single" w:sz="4" w:space="0" w:color="000000"/>
              <w:right w:val="single" w:sz="4" w:space="0" w:color="000000"/>
            </w:tcBorders>
          </w:tcPr>
          <w:p w:rsidR="00AF47B0" w:rsidRDefault="00AF47B0">
            <w:pPr>
              <w:spacing w:after="0" w:line="240" w:lineRule="auto"/>
              <w:rPr>
                <w:rFonts w:cs="Calibri"/>
                <w:b/>
                <w:lang w:val="en-GB"/>
              </w:rPr>
            </w:pPr>
          </w:p>
        </w:tc>
      </w:tr>
      <w:tr w:rsidR="00AF47B0" w:rsidTr="000B5C1B">
        <w:tc>
          <w:tcPr>
            <w:tcW w:w="2694" w:type="dxa"/>
            <w:gridSpan w:val="2"/>
            <w:tcBorders>
              <w:top w:val="single" w:sz="4" w:space="0" w:color="000000"/>
              <w:left w:val="single" w:sz="4" w:space="0" w:color="000000"/>
              <w:bottom w:val="single" w:sz="4" w:space="0" w:color="000000"/>
              <w:right w:val="single" w:sz="4" w:space="0" w:color="000000"/>
            </w:tcBorders>
          </w:tcPr>
          <w:p w:rsidR="00AF47B0" w:rsidRDefault="0054557A">
            <w:pPr>
              <w:spacing w:after="0" w:line="240" w:lineRule="auto"/>
              <w:rPr>
                <w:rFonts w:cs="Calibri"/>
                <w:lang w:val="en-GB"/>
              </w:rPr>
            </w:pPr>
            <w:r>
              <w:rPr>
                <w:rFonts w:cs="Calibri"/>
                <w:lang w:val="en-GB"/>
              </w:rPr>
              <w:t>Observations/Comments</w:t>
            </w:r>
          </w:p>
          <w:p w:rsidR="00AF47B0" w:rsidRDefault="00AF47B0">
            <w:pPr>
              <w:spacing w:after="0" w:line="240" w:lineRule="auto"/>
              <w:rPr>
                <w:rFonts w:cs="Calibri"/>
                <w:lang w:val="en-GB"/>
              </w:rPr>
            </w:pPr>
          </w:p>
        </w:tc>
        <w:tc>
          <w:tcPr>
            <w:tcW w:w="6770" w:type="dxa"/>
            <w:gridSpan w:val="2"/>
            <w:tcBorders>
              <w:top w:val="single" w:sz="4" w:space="0" w:color="000000"/>
              <w:left w:val="single" w:sz="4" w:space="0" w:color="000000"/>
              <w:bottom w:val="single" w:sz="4" w:space="0" w:color="000000"/>
              <w:right w:val="single" w:sz="4" w:space="0" w:color="000000"/>
            </w:tcBorders>
          </w:tcPr>
          <w:p w:rsidR="00AF47B0" w:rsidRDefault="0054557A">
            <w:pPr>
              <w:spacing w:after="0" w:line="100" w:lineRule="atLeast"/>
              <w:jc w:val="both"/>
              <w:rPr>
                <w:rFonts w:cs="Calibri"/>
                <w:b/>
                <w:lang w:val="en-GB"/>
              </w:rPr>
            </w:pPr>
            <w:r>
              <w:rPr>
                <w:rFonts w:cs="Calibri"/>
                <w:b/>
                <w:lang w:val="en-GB"/>
              </w:rPr>
              <w:t>This decision is finally the result of changes in the legal practice.</w:t>
            </w:r>
          </w:p>
          <w:p w:rsidR="00AF47B0" w:rsidRDefault="0054557A">
            <w:pPr>
              <w:spacing w:after="0" w:line="100" w:lineRule="atLeast"/>
              <w:jc w:val="both"/>
              <w:rPr>
                <w:b/>
                <w:lang w:val="en-GB"/>
              </w:rPr>
            </w:pPr>
            <w:r>
              <w:rPr>
                <w:b/>
                <w:lang w:val="en-GB"/>
              </w:rPr>
              <w:t xml:space="preserve">Concerning illegal border-crossing there was a change of practice in 2011. Before the decision MSS vs. Belgium and Greece, Austria deported many asylum applicants to Greece, although they had neither fingerprints nor a residential permission there, but had crossed the border illegally. In these cases, Austria started a consultation procedure – based on the police’s experiences with the most common routes of refugees or the information the asylum applicant provided. Greece did usually not respond to these requests, but the asylum applicant was expelled to Greece regardless. </w:t>
            </w:r>
          </w:p>
          <w:p w:rsidR="00AF47B0" w:rsidRDefault="0054557A">
            <w:pPr>
              <w:spacing w:after="0" w:line="240" w:lineRule="auto"/>
              <w:jc w:val="both"/>
              <w:rPr>
                <w:b/>
                <w:lang w:val="en-GB"/>
              </w:rPr>
            </w:pPr>
            <w:r>
              <w:rPr>
                <w:b/>
                <w:lang w:val="en-GB"/>
              </w:rPr>
              <w:t xml:space="preserve">This practice changed: If an asylum applicant says he crossed the border to Greece illegally, was registered by the Greek authorities but did not apply for asylum, the Austrian Federal Asylum Office and Asylum Court no longer assume a theoretical responsibility of Greece. The next Member State they cross illegally and often without being registered by the state’s authorities, is usually Hungary (coming from Greece via Macedonia and Serbia), which is then considered to be the responsible Member State. </w:t>
            </w:r>
          </w:p>
          <w:p w:rsidR="00AF47B0" w:rsidRDefault="0054557A">
            <w:pPr>
              <w:spacing w:after="0" w:line="240" w:lineRule="auto"/>
              <w:jc w:val="both"/>
              <w:rPr>
                <w:b/>
                <w:lang w:val="en-GB"/>
              </w:rPr>
            </w:pPr>
            <w:r>
              <w:rPr>
                <w:b/>
                <w:lang w:val="en-GB"/>
              </w:rPr>
              <w:t>The Constitutional Court's decision now requires a clarification of the situation by the ECJ.</w:t>
            </w:r>
          </w:p>
          <w:p w:rsidR="00AF47B0" w:rsidRDefault="00AF47B0">
            <w:pPr>
              <w:spacing w:after="0" w:line="240" w:lineRule="auto"/>
              <w:jc w:val="both"/>
              <w:rPr>
                <w:b/>
                <w:lang w:val="en-GB"/>
              </w:rPr>
            </w:pPr>
          </w:p>
          <w:p w:rsidR="00AF47B0" w:rsidRDefault="0054557A">
            <w:pPr>
              <w:spacing w:after="0" w:line="240" w:lineRule="auto"/>
              <w:jc w:val="both"/>
              <w:rPr>
                <w:rFonts w:cs="Calibri"/>
                <w:b/>
                <w:lang w:val="en-GB"/>
              </w:rPr>
            </w:pPr>
            <w:r>
              <w:rPr>
                <w:b/>
                <w:lang w:val="en-GB"/>
              </w:rPr>
              <w:t xml:space="preserve">The Constitutional Court in Austria is only allowed to assess the points of law based on the information given during the procedure before the </w:t>
            </w:r>
            <w:r>
              <w:rPr>
                <w:b/>
                <w:lang w:val="en-GB"/>
              </w:rPr>
              <w:lastRenderedPageBreak/>
              <w:t>lower authorities. It is not permitted to introduce new facts or circumstances before the Constitutional Court.</w:t>
            </w:r>
          </w:p>
        </w:tc>
      </w:tr>
    </w:tbl>
    <w:p w:rsidR="00AF47B0" w:rsidRDefault="00AF47B0">
      <w:pPr>
        <w:spacing w:after="0" w:line="240" w:lineRule="auto"/>
        <w:rPr>
          <w:rFonts w:cs="Calibri"/>
          <w:lang w:val="en-GB"/>
        </w:rPr>
      </w:pPr>
    </w:p>
    <w:p w:rsidR="00AF47B0" w:rsidRDefault="00AF47B0">
      <w:pPr>
        <w:rPr>
          <w:lang w:val="en-GB"/>
        </w:rPr>
      </w:pPr>
    </w:p>
    <w:sectPr w:rsidR="00AF47B0" w:rsidSect="00AF47B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B0" w:rsidRDefault="0054557A">
      <w:pPr>
        <w:spacing w:after="0" w:line="240" w:lineRule="auto"/>
      </w:pPr>
      <w:r>
        <w:separator/>
      </w:r>
    </w:p>
  </w:endnote>
  <w:endnote w:type="continuationSeparator" w:id="0">
    <w:p w:rsidR="00AF47B0" w:rsidRDefault="0054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B0" w:rsidRDefault="0054557A">
      <w:pPr>
        <w:spacing w:after="0" w:line="240" w:lineRule="auto"/>
      </w:pPr>
      <w:r>
        <w:separator/>
      </w:r>
    </w:p>
  </w:footnote>
  <w:footnote w:type="continuationSeparator" w:id="0">
    <w:p w:rsidR="00AF47B0" w:rsidRDefault="005455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B7"/>
    <w:rsid w:val="0008579D"/>
    <w:rsid w:val="000B5C1B"/>
    <w:rsid w:val="0054557A"/>
    <w:rsid w:val="006321B7"/>
    <w:rsid w:val="00AF47B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7B0"/>
    <w:pPr>
      <w:spacing w:after="200" w:line="276" w:lineRule="auto"/>
    </w:pPr>
    <w:rPr>
      <w:rFonts w:cs="Arial"/>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unhideWhenUsed/>
    <w:rsid w:val="00AF47B0"/>
    <w:rPr>
      <w:sz w:val="20"/>
      <w:szCs w:val="20"/>
    </w:rPr>
  </w:style>
  <w:style w:type="character" w:customStyle="1" w:styleId="FootnoteTextChar">
    <w:name w:val="Footnote Text Char"/>
    <w:semiHidden/>
    <w:rsid w:val="00AF47B0"/>
    <w:rPr>
      <w:rFonts w:ascii="Calibri" w:eastAsia="Calibri" w:hAnsi="Calibri" w:cs="Arial"/>
      <w:sz w:val="20"/>
      <w:szCs w:val="20"/>
      <w:lang w:val="fr-FR"/>
    </w:rPr>
  </w:style>
  <w:style w:type="paragraph" w:styleId="CommentText">
    <w:name w:val="annotation text"/>
    <w:basedOn w:val="Normal"/>
    <w:semiHidden/>
    <w:unhideWhenUsed/>
    <w:rsid w:val="00AF47B0"/>
    <w:pPr>
      <w:spacing w:line="240" w:lineRule="auto"/>
    </w:pPr>
    <w:rPr>
      <w:rFonts w:cs="Times New Roman"/>
      <w:sz w:val="20"/>
      <w:szCs w:val="20"/>
      <w:lang w:val="en-IE"/>
    </w:rPr>
  </w:style>
  <w:style w:type="character" w:customStyle="1" w:styleId="CommentTextChar">
    <w:name w:val="Comment Text Char"/>
    <w:semiHidden/>
    <w:rsid w:val="00AF47B0"/>
    <w:rPr>
      <w:rFonts w:ascii="Calibri" w:eastAsia="Calibri" w:hAnsi="Calibri" w:cs="Times New Roman"/>
      <w:sz w:val="20"/>
      <w:szCs w:val="20"/>
      <w:lang w:val="en-IE"/>
    </w:rPr>
  </w:style>
  <w:style w:type="character" w:styleId="FootnoteReference">
    <w:name w:val="footnote reference"/>
    <w:semiHidden/>
    <w:unhideWhenUsed/>
    <w:rsid w:val="00AF47B0"/>
    <w:rPr>
      <w:rFonts w:ascii="Times New Roman" w:hAnsi="Times New Roman" w:cs="Times New Roman" w:hint="default"/>
      <w:vertAlign w:val="superscript"/>
    </w:rPr>
  </w:style>
  <w:style w:type="paragraph" w:customStyle="1" w:styleId="Sprechblasentext1">
    <w:name w:val="Sprechblasentext1"/>
    <w:basedOn w:val="Normal"/>
    <w:semiHidden/>
    <w:unhideWhenUsed/>
    <w:rsid w:val="00AF47B0"/>
    <w:pPr>
      <w:spacing w:after="0" w:line="240" w:lineRule="auto"/>
    </w:pPr>
    <w:rPr>
      <w:rFonts w:ascii="Tahoma" w:hAnsi="Tahoma" w:cs="Tahoma"/>
      <w:sz w:val="16"/>
      <w:szCs w:val="16"/>
    </w:rPr>
  </w:style>
  <w:style w:type="character" w:customStyle="1" w:styleId="BalloonTextChar">
    <w:name w:val="Balloon Text Char"/>
    <w:semiHidden/>
    <w:rsid w:val="00AF47B0"/>
    <w:rPr>
      <w:rFonts w:ascii="Tahoma" w:eastAsia="Calibri" w:hAnsi="Tahoma" w:cs="Tahoma"/>
      <w:sz w:val="16"/>
      <w:szCs w:val="1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7B0"/>
    <w:pPr>
      <w:spacing w:after="200" w:line="276" w:lineRule="auto"/>
    </w:pPr>
    <w:rPr>
      <w:rFonts w:cs="Arial"/>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unhideWhenUsed/>
    <w:rsid w:val="00AF47B0"/>
    <w:rPr>
      <w:sz w:val="20"/>
      <w:szCs w:val="20"/>
    </w:rPr>
  </w:style>
  <w:style w:type="character" w:customStyle="1" w:styleId="FootnoteTextChar">
    <w:name w:val="Footnote Text Char"/>
    <w:semiHidden/>
    <w:rsid w:val="00AF47B0"/>
    <w:rPr>
      <w:rFonts w:ascii="Calibri" w:eastAsia="Calibri" w:hAnsi="Calibri" w:cs="Arial"/>
      <w:sz w:val="20"/>
      <w:szCs w:val="20"/>
      <w:lang w:val="fr-FR"/>
    </w:rPr>
  </w:style>
  <w:style w:type="paragraph" w:styleId="CommentText">
    <w:name w:val="annotation text"/>
    <w:basedOn w:val="Normal"/>
    <w:semiHidden/>
    <w:unhideWhenUsed/>
    <w:rsid w:val="00AF47B0"/>
    <w:pPr>
      <w:spacing w:line="240" w:lineRule="auto"/>
    </w:pPr>
    <w:rPr>
      <w:rFonts w:cs="Times New Roman"/>
      <w:sz w:val="20"/>
      <w:szCs w:val="20"/>
      <w:lang w:val="en-IE"/>
    </w:rPr>
  </w:style>
  <w:style w:type="character" w:customStyle="1" w:styleId="CommentTextChar">
    <w:name w:val="Comment Text Char"/>
    <w:semiHidden/>
    <w:rsid w:val="00AF47B0"/>
    <w:rPr>
      <w:rFonts w:ascii="Calibri" w:eastAsia="Calibri" w:hAnsi="Calibri" w:cs="Times New Roman"/>
      <w:sz w:val="20"/>
      <w:szCs w:val="20"/>
      <w:lang w:val="en-IE"/>
    </w:rPr>
  </w:style>
  <w:style w:type="character" w:styleId="FootnoteReference">
    <w:name w:val="footnote reference"/>
    <w:semiHidden/>
    <w:unhideWhenUsed/>
    <w:rsid w:val="00AF47B0"/>
    <w:rPr>
      <w:rFonts w:ascii="Times New Roman" w:hAnsi="Times New Roman" w:cs="Times New Roman" w:hint="default"/>
      <w:vertAlign w:val="superscript"/>
    </w:rPr>
  </w:style>
  <w:style w:type="paragraph" w:customStyle="1" w:styleId="Sprechblasentext1">
    <w:name w:val="Sprechblasentext1"/>
    <w:basedOn w:val="Normal"/>
    <w:semiHidden/>
    <w:unhideWhenUsed/>
    <w:rsid w:val="00AF47B0"/>
    <w:pPr>
      <w:spacing w:after="0" w:line="240" w:lineRule="auto"/>
    </w:pPr>
    <w:rPr>
      <w:rFonts w:ascii="Tahoma" w:hAnsi="Tahoma" w:cs="Tahoma"/>
      <w:sz w:val="16"/>
      <w:szCs w:val="16"/>
    </w:rPr>
  </w:style>
  <w:style w:type="character" w:customStyle="1" w:styleId="BalloonTextChar">
    <w:name w:val="Balloon Text Char"/>
    <w:semiHidden/>
    <w:rsid w:val="00AF47B0"/>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4648</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TEMPLATE</vt:lpstr>
    </vt:vector>
  </TitlesOfParts>
  <Company>TU Wien - Campusversion</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Seb</dc:creator>
  <cp:lastModifiedBy>Kajsa Berg</cp:lastModifiedBy>
  <cp:revision>2</cp:revision>
  <dcterms:created xsi:type="dcterms:W3CDTF">2013-09-09T11:04:00Z</dcterms:created>
  <dcterms:modified xsi:type="dcterms:W3CDTF">2013-09-09T11:04:00Z</dcterms:modified>
</cp:coreProperties>
</file>