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2237"/>
        <w:gridCol w:w="3433"/>
        <w:gridCol w:w="3337"/>
      </w:tblGrid>
      <w:tr w:rsidR="00B56429" w:rsidRPr="00F26BE2" w:rsidTr="00EC0DAC"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F26BE2">
              <w:rPr>
                <w:rFonts w:cs="Calibri"/>
                <w:b/>
                <w:bCs/>
              </w:rPr>
              <w:t>KEY WORDS</w:t>
            </w:r>
          </w:p>
        </w:tc>
        <w:tc>
          <w:tcPr>
            <w:tcW w:w="677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2A54" w:rsidRPr="00752A54" w:rsidRDefault="00752A54" w:rsidP="00033C74">
            <w:pPr>
              <w:spacing w:after="0" w:line="240" w:lineRule="auto"/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Hierarchy of the Criteria</w:t>
            </w:r>
          </w:p>
        </w:tc>
      </w:tr>
      <w:tr w:rsidR="00B56429" w:rsidRPr="00F26BE2" w:rsidTr="00EC0DAC">
        <w:tc>
          <w:tcPr>
            <w:tcW w:w="2694" w:type="dxa"/>
            <w:gridSpan w:val="2"/>
            <w:tcBorders>
              <w:top w:val="single" w:sz="12" w:space="0" w:color="000000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</w:rPr>
            </w:pPr>
            <w:r w:rsidRPr="00F26BE2">
              <w:rPr>
                <w:rFonts w:cs="Calibri"/>
              </w:rPr>
              <w:t>Countr</w:t>
            </w:r>
            <w:r>
              <w:rPr>
                <w:rFonts w:cs="Calibri"/>
              </w:rPr>
              <w:t>y of Appeal</w:t>
            </w:r>
          </w:p>
        </w:tc>
        <w:tc>
          <w:tcPr>
            <w:tcW w:w="6770" w:type="dxa"/>
            <w:gridSpan w:val="2"/>
            <w:tcBorders>
              <w:top w:val="single" w:sz="12" w:space="0" w:color="000000"/>
            </w:tcBorders>
          </w:tcPr>
          <w:p w:rsidR="00B56429" w:rsidRPr="00752A54" w:rsidRDefault="00EF62EF" w:rsidP="00033C74">
            <w:pPr>
              <w:spacing w:after="0" w:line="240" w:lineRule="auto"/>
              <w:rPr>
                <w:rFonts w:cs="Calibri"/>
                <w:b/>
              </w:rPr>
            </w:pPr>
            <w:r w:rsidRPr="00752A54">
              <w:rPr>
                <w:rFonts w:cs="Calibri"/>
                <w:b/>
              </w:rPr>
              <w:t>Austria</w:t>
            </w:r>
          </w:p>
        </w:tc>
      </w:tr>
      <w:tr w:rsidR="00B56429" w:rsidRPr="00F22DDD" w:rsidTr="00EC0DAC">
        <w:tc>
          <w:tcPr>
            <w:tcW w:w="2694" w:type="dxa"/>
            <w:gridSpan w:val="2"/>
            <w:tcBorders>
              <w:top w:val="single" w:sz="12" w:space="0" w:color="000000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Responsible Member State under Dublin Criteria</w:t>
            </w:r>
          </w:p>
        </w:tc>
        <w:tc>
          <w:tcPr>
            <w:tcW w:w="6770" w:type="dxa"/>
            <w:gridSpan w:val="2"/>
            <w:tcBorders>
              <w:top w:val="single" w:sz="12" w:space="0" w:color="000000"/>
            </w:tcBorders>
          </w:tcPr>
          <w:p w:rsidR="00B56429" w:rsidRPr="00752A54" w:rsidRDefault="00752A54" w:rsidP="00033C7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Italy</w:t>
            </w:r>
          </w:p>
        </w:tc>
      </w:tr>
      <w:tr w:rsidR="00B56429" w:rsidRPr="00F26BE2" w:rsidTr="00EC0DAC">
        <w:tc>
          <w:tcPr>
            <w:tcW w:w="2694" w:type="dxa"/>
            <w:gridSpan w:val="2"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</w:rPr>
            </w:pPr>
            <w:r w:rsidRPr="00F26BE2">
              <w:rPr>
                <w:rFonts w:cs="Calibri"/>
              </w:rPr>
              <w:t>Case name</w:t>
            </w:r>
          </w:p>
        </w:tc>
        <w:tc>
          <w:tcPr>
            <w:tcW w:w="6770" w:type="dxa"/>
            <w:gridSpan w:val="2"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/>
                <w:lang w:val="nl-NL"/>
              </w:rPr>
            </w:pPr>
          </w:p>
        </w:tc>
      </w:tr>
      <w:tr w:rsidR="00B56429" w:rsidRPr="00F22DDD" w:rsidTr="00EC0DAC">
        <w:tc>
          <w:tcPr>
            <w:tcW w:w="2694" w:type="dxa"/>
            <w:gridSpan w:val="2"/>
          </w:tcPr>
          <w:p w:rsidR="00B56429" w:rsidRPr="00AF4723" w:rsidRDefault="00B56429" w:rsidP="00033C74">
            <w:pPr>
              <w:spacing w:after="0" w:line="240" w:lineRule="auto"/>
              <w:rPr>
                <w:rFonts w:cs="Calibri"/>
                <w:lang w:val="en-GB"/>
              </w:rPr>
            </w:pPr>
            <w:r w:rsidRPr="00DE778F">
              <w:rPr>
                <w:rFonts w:cs="Calibri"/>
                <w:lang w:val="en-GB"/>
              </w:rPr>
              <w:t xml:space="preserve">Appeal body name i.e. </w:t>
            </w:r>
            <w:r>
              <w:rPr>
                <w:rFonts w:cs="Calibri"/>
                <w:lang w:val="en-GB"/>
              </w:rPr>
              <w:t>Court/Tribunal/Appeals Board</w:t>
            </w:r>
          </w:p>
        </w:tc>
        <w:tc>
          <w:tcPr>
            <w:tcW w:w="6770" w:type="dxa"/>
            <w:gridSpan w:val="2"/>
          </w:tcPr>
          <w:p w:rsidR="00B56429" w:rsidRPr="00F26BE2" w:rsidRDefault="00EF62EF" w:rsidP="00033C74">
            <w:pPr>
              <w:spacing w:after="0" w:line="240" w:lineRule="auto"/>
              <w:rPr>
                <w:rFonts w:cs="Calibri"/>
                <w:b/>
                <w:lang w:val="nl-NL"/>
              </w:rPr>
            </w:pPr>
            <w:r>
              <w:rPr>
                <w:rFonts w:cs="Calibri"/>
                <w:b/>
                <w:lang w:val="nl-NL"/>
              </w:rPr>
              <w:t>Constitutional Court</w:t>
            </w:r>
          </w:p>
        </w:tc>
      </w:tr>
      <w:tr w:rsidR="00B56429" w:rsidRPr="00AF4723" w:rsidTr="00EC0DAC">
        <w:tc>
          <w:tcPr>
            <w:tcW w:w="2694" w:type="dxa"/>
            <w:gridSpan w:val="2"/>
          </w:tcPr>
          <w:p w:rsidR="00B56429" w:rsidRPr="00AF4723" w:rsidRDefault="00B56429" w:rsidP="00033C74">
            <w:pPr>
              <w:spacing w:after="0" w:line="240" w:lineRule="auto"/>
              <w:rPr>
                <w:rFonts w:cs="Calibri"/>
                <w:lang w:val="en-GB"/>
              </w:rPr>
            </w:pPr>
            <w:r w:rsidRPr="00DE778F">
              <w:rPr>
                <w:rFonts w:cs="Calibri"/>
                <w:lang w:val="en-GB"/>
              </w:rPr>
              <w:t>Decision number/Neutral citation</w:t>
            </w:r>
          </w:p>
        </w:tc>
        <w:tc>
          <w:tcPr>
            <w:tcW w:w="6770" w:type="dxa"/>
            <w:gridSpan w:val="2"/>
          </w:tcPr>
          <w:p w:rsidR="00752A54" w:rsidRDefault="00EF62EF" w:rsidP="00752A54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U462/12</w:t>
            </w:r>
          </w:p>
          <w:p w:rsidR="00B56429" w:rsidRPr="00AF4723" w:rsidRDefault="00B16B35" w:rsidP="00EC0DAC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bookmarkStart w:id="0" w:name="_GoBack"/>
            <w:r>
              <w:rPr>
                <w:rFonts w:cs="Calibri"/>
                <w:b/>
                <w:lang w:val="en-GB"/>
              </w:rPr>
              <w:t>https://www.ris.bka.gv.at/Dokument.wxe?Abfrage=Vfgh&amp;Dokumentnummer=JFT_09879373_12U00462_2_00</w:t>
            </w:r>
            <w:bookmarkEnd w:id="0"/>
          </w:p>
        </w:tc>
      </w:tr>
      <w:tr w:rsidR="00B56429" w:rsidRPr="00F22DDD" w:rsidTr="00EC0DAC">
        <w:tc>
          <w:tcPr>
            <w:tcW w:w="2694" w:type="dxa"/>
            <w:gridSpan w:val="2"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lang w:val="en-US"/>
              </w:rPr>
            </w:pPr>
            <w:r w:rsidRPr="00F26BE2">
              <w:rPr>
                <w:rFonts w:cs="Calibri"/>
                <w:lang w:val="en-US"/>
              </w:rPr>
              <w:t>Date decision delivered or promulgated: Date of determination</w:t>
            </w:r>
          </w:p>
        </w:tc>
        <w:tc>
          <w:tcPr>
            <w:tcW w:w="6770" w:type="dxa"/>
            <w:gridSpan w:val="2"/>
          </w:tcPr>
          <w:p w:rsidR="00B56429" w:rsidRPr="00F26BE2" w:rsidRDefault="00EF62EF" w:rsidP="00033C7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27.06.2012</w:t>
            </w:r>
          </w:p>
        </w:tc>
      </w:tr>
      <w:tr w:rsidR="00B56429" w:rsidRPr="00F26BE2" w:rsidTr="00EC0DAC">
        <w:tc>
          <w:tcPr>
            <w:tcW w:w="2694" w:type="dxa"/>
            <w:gridSpan w:val="2"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</w:rPr>
            </w:pPr>
            <w:r w:rsidRPr="00F26BE2">
              <w:rPr>
                <w:rFonts w:cs="Calibri"/>
              </w:rPr>
              <w:t>Country of applicant/Claimant</w:t>
            </w:r>
          </w:p>
        </w:tc>
        <w:tc>
          <w:tcPr>
            <w:tcW w:w="6770" w:type="dxa"/>
            <w:gridSpan w:val="2"/>
          </w:tcPr>
          <w:p w:rsidR="00B56429" w:rsidRPr="00F26BE2" w:rsidRDefault="00EF62EF" w:rsidP="00033C74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Afghanistan</w:t>
            </w:r>
          </w:p>
        </w:tc>
      </w:tr>
      <w:tr w:rsidR="00B56429" w:rsidRPr="00F26BE2" w:rsidTr="00EC0DAC">
        <w:tc>
          <w:tcPr>
            <w:tcW w:w="2694" w:type="dxa"/>
            <w:gridSpan w:val="2"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</w:rPr>
            </w:pPr>
            <w:r w:rsidRPr="00F26BE2">
              <w:rPr>
                <w:rFonts w:cs="Calibri"/>
              </w:rPr>
              <w:t>Summary of the case</w:t>
            </w:r>
          </w:p>
        </w:tc>
        <w:tc>
          <w:tcPr>
            <w:tcW w:w="6770" w:type="dxa"/>
            <w:gridSpan w:val="2"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  <w:lang w:val="nl-NL"/>
              </w:rPr>
            </w:pPr>
          </w:p>
        </w:tc>
      </w:tr>
      <w:tr w:rsidR="00B56429" w:rsidRPr="001F0670" w:rsidTr="00EC0DAC">
        <w:trPr>
          <w:trHeight w:val="385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i/>
              </w:rPr>
            </w:pPr>
            <w:r w:rsidRPr="00F26BE2">
              <w:rPr>
                <w:rFonts w:cs="Calibri"/>
                <w:i/>
              </w:rPr>
              <w:t xml:space="preserve">Facts </w:t>
            </w:r>
            <w:r>
              <w:rPr>
                <w:rFonts w:cs="Calibri"/>
                <w:i/>
              </w:rPr>
              <w:t>(brief overview)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C74" w:rsidRPr="001F0670" w:rsidRDefault="00EF62EF" w:rsidP="0006030C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  <w:r w:rsidRPr="001F0670">
              <w:rPr>
                <w:rFonts w:cs="Calibri"/>
                <w:b/>
                <w:lang w:val="nl-NL"/>
              </w:rPr>
              <w:t>The applicant entered the European Uni</w:t>
            </w:r>
            <w:r w:rsidR="0006030C" w:rsidRPr="001F0670">
              <w:rPr>
                <w:rFonts w:cs="Calibri"/>
                <w:b/>
                <w:lang w:val="nl-NL"/>
              </w:rPr>
              <w:t xml:space="preserve">on via Greece in the year 2005 and continued on </w:t>
            </w:r>
            <w:r w:rsidR="00033C74" w:rsidRPr="001F0670">
              <w:rPr>
                <w:rFonts w:cs="Calibri"/>
                <w:b/>
                <w:lang w:val="nl-NL"/>
              </w:rPr>
              <w:t>to Belgium</w:t>
            </w:r>
            <w:r w:rsidR="0006030C" w:rsidRPr="001F0670">
              <w:rPr>
                <w:rFonts w:cs="Calibri"/>
                <w:b/>
                <w:lang w:val="nl-NL"/>
              </w:rPr>
              <w:t>,</w:t>
            </w:r>
            <w:r w:rsidR="00033C74" w:rsidRPr="001F0670">
              <w:rPr>
                <w:rFonts w:cs="Calibri"/>
                <w:b/>
                <w:lang w:val="nl-NL"/>
              </w:rPr>
              <w:t xml:space="preserve"> from where he was rejected </w:t>
            </w:r>
            <w:r w:rsidR="0006030C" w:rsidRPr="001F0670">
              <w:rPr>
                <w:rFonts w:cs="Calibri"/>
                <w:b/>
                <w:lang w:val="nl-NL"/>
              </w:rPr>
              <w:t xml:space="preserve">and taken back </w:t>
            </w:r>
            <w:r w:rsidR="00033C74" w:rsidRPr="001F0670">
              <w:rPr>
                <w:rFonts w:cs="Calibri"/>
                <w:b/>
                <w:lang w:val="nl-NL"/>
              </w:rPr>
              <w:t xml:space="preserve">to Greece. From March 2006 until November 2011 the applicant </w:t>
            </w:r>
            <w:r w:rsidR="0006030C" w:rsidRPr="001F0670">
              <w:rPr>
                <w:rFonts w:cs="Calibri"/>
                <w:b/>
                <w:lang w:val="nl-NL"/>
              </w:rPr>
              <w:t>lived</w:t>
            </w:r>
            <w:r w:rsidR="00033C74" w:rsidRPr="001F0670">
              <w:rPr>
                <w:rFonts w:cs="Calibri"/>
                <w:b/>
                <w:lang w:val="nl-NL"/>
              </w:rPr>
              <w:t xml:space="preserve"> in Greece. </w:t>
            </w:r>
            <w:r w:rsidR="0006030C" w:rsidRPr="001F0670">
              <w:rPr>
                <w:rFonts w:cs="Calibri"/>
                <w:b/>
                <w:lang w:val="nl-NL"/>
              </w:rPr>
              <w:t xml:space="preserve">He then went to Italy, where he applied for asylum. And shortly afterwards entered Austria and applied for asylum again. </w:t>
            </w:r>
          </w:p>
          <w:p w:rsidR="00B56429" w:rsidRPr="001F0670" w:rsidRDefault="00FA4233" w:rsidP="00752A54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  <w:r w:rsidRPr="001F0670">
              <w:rPr>
                <w:rFonts w:cs="Calibri"/>
                <w:b/>
                <w:lang w:val="nl-NL"/>
              </w:rPr>
              <w:t>The Austrian Federal Asylum O</w:t>
            </w:r>
            <w:r w:rsidR="00033C74" w:rsidRPr="001F0670">
              <w:rPr>
                <w:rFonts w:cs="Calibri"/>
                <w:b/>
                <w:lang w:val="nl-NL"/>
              </w:rPr>
              <w:t xml:space="preserve">ffice </w:t>
            </w:r>
            <w:r w:rsidRPr="001F0670">
              <w:rPr>
                <w:rFonts w:cs="Calibri"/>
                <w:b/>
                <w:lang w:val="nl-NL"/>
              </w:rPr>
              <w:t>sent a request to Italy to take char</w:t>
            </w:r>
            <w:r w:rsidR="0006030C" w:rsidRPr="001F0670">
              <w:rPr>
                <w:rFonts w:cs="Calibri"/>
                <w:b/>
                <w:lang w:val="nl-NL"/>
              </w:rPr>
              <w:t>ge of the applicant. Italy, however, did no</w:t>
            </w:r>
            <w:r w:rsidRPr="001F0670">
              <w:rPr>
                <w:rFonts w:cs="Calibri"/>
                <w:b/>
                <w:lang w:val="nl-NL"/>
              </w:rPr>
              <w:t xml:space="preserve">t respond within </w:t>
            </w:r>
            <w:r w:rsidR="00EC4F77" w:rsidRPr="001F0670">
              <w:rPr>
                <w:rFonts w:cs="Calibri"/>
                <w:b/>
                <w:lang w:val="nl-NL"/>
              </w:rPr>
              <w:t>time</w:t>
            </w:r>
            <w:r w:rsidR="0006030C" w:rsidRPr="001F0670">
              <w:rPr>
                <w:rFonts w:cs="Calibri"/>
                <w:b/>
                <w:lang w:val="nl-NL"/>
              </w:rPr>
              <w:t>. Furthermore,</w:t>
            </w:r>
            <w:r w:rsidRPr="001F0670">
              <w:rPr>
                <w:rFonts w:cs="Calibri"/>
                <w:b/>
                <w:lang w:val="nl-NL"/>
              </w:rPr>
              <w:t xml:space="preserve"> the application was rejected and the applicant received an expulsion order to Italy. The Asylum Court agreed with this decision. The applicant then appealed to the Constitutional Court.</w:t>
            </w:r>
          </w:p>
        </w:tc>
      </w:tr>
      <w:tr w:rsidR="00B56429" w:rsidRPr="001F0670" w:rsidTr="00EC0DAC">
        <w:trPr>
          <w:trHeight w:val="385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lang w:val="nl-NL"/>
              </w:rPr>
            </w:pPr>
            <w:r w:rsidRPr="00F26BE2">
              <w:rPr>
                <w:rFonts w:cs="Calibri"/>
                <w:b/>
                <w:lang w:val="nl-NL"/>
              </w:rPr>
              <w:t xml:space="preserve">        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344420">
            <w:pPr>
              <w:spacing w:after="0" w:line="240" w:lineRule="auto"/>
              <w:rPr>
                <w:rFonts w:cs="Calibri"/>
                <w:i/>
              </w:rPr>
            </w:pPr>
            <w:proofErr w:type="spellStart"/>
            <w:r w:rsidRPr="00F26BE2">
              <w:rPr>
                <w:rFonts w:cs="Calibri"/>
                <w:i/>
              </w:rPr>
              <w:t>Decision</w:t>
            </w:r>
            <w:proofErr w:type="spellEnd"/>
            <w:r w:rsidRPr="00F26BE2">
              <w:rPr>
                <w:rFonts w:cs="Calibri"/>
                <w:i/>
              </w:rPr>
              <w:t xml:space="preserve"> &amp; </w:t>
            </w:r>
            <w:proofErr w:type="spellStart"/>
            <w:r w:rsidRPr="00F26BE2">
              <w:rPr>
                <w:rFonts w:cs="Calibri"/>
                <w:i/>
              </w:rPr>
              <w:t>Reasoning</w:t>
            </w:r>
            <w:proofErr w:type="spellEnd"/>
          </w:p>
        </w:tc>
        <w:tc>
          <w:tcPr>
            <w:tcW w:w="6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429" w:rsidRPr="001F0670" w:rsidRDefault="00EC4F77" w:rsidP="00033C74">
            <w:pPr>
              <w:spacing w:after="0" w:line="240" w:lineRule="auto"/>
              <w:rPr>
                <w:rFonts w:cs="Calibri"/>
                <w:b/>
                <w:lang w:val="nl-NL"/>
              </w:rPr>
            </w:pPr>
            <w:r w:rsidRPr="001F0670">
              <w:rPr>
                <w:rFonts w:cs="Calibri"/>
                <w:b/>
                <w:lang w:val="nl-NL"/>
              </w:rPr>
              <w:t>The Constitutional Court allowed the appeal.</w:t>
            </w:r>
          </w:p>
          <w:p w:rsidR="00752A54" w:rsidRPr="001F0670" w:rsidRDefault="00D20379" w:rsidP="00CC1366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  <w:r w:rsidRPr="001F0670">
              <w:rPr>
                <w:rFonts w:cs="Calibri"/>
                <w:b/>
                <w:lang w:val="nl-NL"/>
              </w:rPr>
              <w:t xml:space="preserve">It stated that the decision of the Asylum Court constitutes a violation of the right </w:t>
            </w:r>
            <w:r w:rsidR="00BB3049" w:rsidRPr="001F0670">
              <w:rPr>
                <w:rFonts w:cs="Calibri"/>
                <w:b/>
                <w:lang w:val="nl-NL"/>
              </w:rPr>
              <w:t xml:space="preserve">of equal treatment for aliens among each other by arbitrariness. </w:t>
            </w:r>
            <w:r w:rsidR="0006030C" w:rsidRPr="001F0670">
              <w:rPr>
                <w:rFonts w:cs="Calibri"/>
                <w:b/>
                <w:lang w:val="nl-NL"/>
              </w:rPr>
              <w:t>I</w:t>
            </w:r>
            <w:r w:rsidR="00BB3049" w:rsidRPr="001F0670">
              <w:rPr>
                <w:rFonts w:cs="Calibri"/>
                <w:b/>
                <w:lang w:val="nl-NL"/>
              </w:rPr>
              <w:t>t</w:t>
            </w:r>
            <w:r w:rsidR="0006030C" w:rsidRPr="001F0670">
              <w:rPr>
                <w:rFonts w:cs="Calibri"/>
                <w:b/>
                <w:lang w:val="nl-NL"/>
              </w:rPr>
              <w:t xml:space="preserve"> also</w:t>
            </w:r>
            <w:r w:rsidR="00BB3049" w:rsidRPr="001F0670">
              <w:rPr>
                <w:rFonts w:cs="Calibri"/>
                <w:b/>
                <w:lang w:val="nl-NL"/>
              </w:rPr>
              <w:t xml:space="preserve"> stated</w:t>
            </w:r>
            <w:r w:rsidR="0006030C" w:rsidRPr="001F0670">
              <w:rPr>
                <w:rFonts w:cs="Calibri"/>
                <w:b/>
                <w:lang w:val="nl-NL"/>
              </w:rPr>
              <w:t>,</w:t>
            </w:r>
            <w:r w:rsidR="00BB3049" w:rsidRPr="001F0670">
              <w:rPr>
                <w:rFonts w:cs="Calibri"/>
                <w:b/>
                <w:lang w:val="nl-NL"/>
              </w:rPr>
              <w:t xml:space="preserve"> that the Asylum Court </w:t>
            </w:r>
            <w:r w:rsidR="0006030C" w:rsidRPr="001F0670">
              <w:rPr>
                <w:rFonts w:cs="Calibri"/>
                <w:b/>
                <w:lang w:val="nl-NL"/>
              </w:rPr>
              <w:t>had</w:t>
            </w:r>
            <w:r w:rsidR="00752A54" w:rsidRPr="001F0670">
              <w:rPr>
                <w:rFonts w:cs="Calibri"/>
                <w:b/>
                <w:lang w:val="nl-NL"/>
              </w:rPr>
              <w:t xml:space="preserve"> not</w:t>
            </w:r>
            <w:r w:rsidR="0006030C" w:rsidRPr="001F0670">
              <w:rPr>
                <w:rFonts w:cs="Calibri"/>
                <w:b/>
                <w:lang w:val="nl-NL"/>
              </w:rPr>
              <w:t xml:space="preserve"> listed</w:t>
            </w:r>
            <w:r w:rsidR="00BB3049" w:rsidRPr="001F0670">
              <w:rPr>
                <w:rFonts w:cs="Calibri"/>
                <w:b/>
                <w:lang w:val="nl-NL"/>
              </w:rPr>
              <w:t xml:space="preserve"> any criteria </w:t>
            </w:r>
            <w:r w:rsidR="00B361E4" w:rsidRPr="001F0670">
              <w:rPr>
                <w:rFonts w:cs="Calibri"/>
                <w:b/>
                <w:lang w:val="nl-NL"/>
              </w:rPr>
              <w:t xml:space="preserve">of the Dublin II Regulations </w:t>
            </w:r>
            <w:r w:rsidR="0006030C" w:rsidRPr="001F0670">
              <w:rPr>
                <w:rFonts w:cs="Calibri"/>
                <w:b/>
                <w:lang w:val="nl-NL"/>
              </w:rPr>
              <w:t xml:space="preserve">that would indicate </w:t>
            </w:r>
            <w:r w:rsidR="00CC1366" w:rsidRPr="001F0670">
              <w:rPr>
                <w:rFonts w:cs="Calibri"/>
                <w:b/>
                <w:lang w:val="nl-NL"/>
              </w:rPr>
              <w:t>that</w:t>
            </w:r>
            <w:r w:rsidR="00BB3049" w:rsidRPr="001F0670">
              <w:rPr>
                <w:rFonts w:cs="Calibri"/>
                <w:b/>
                <w:lang w:val="nl-NL"/>
              </w:rPr>
              <w:t xml:space="preserve"> </w:t>
            </w:r>
            <w:r w:rsidR="00CC1366" w:rsidRPr="001F0670">
              <w:rPr>
                <w:rFonts w:cs="Calibri"/>
                <w:b/>
                <w:lang w:val="nl-NL"/>
              </w:rPr>
              <w:t>Italy was responsible for the asylum proc</w:t>
            </w:r>
            <w:r w:rsidR="00BB3049" w:rsidRPr="001F0670">
              <w:rPr>
                <w:rFonts w:cs="Calibri"/>
                <w:b/>
                <w:lang w:val="nl-NL"/>
              </w:rPr>
              <w:t xml:space="preserve">edure and a </w:t>
            </w:r>
            <w:r w:rsidR="00752A54" w:rsidRPr="001F0670">
              <w:rPr>
                <w:rFonts w:cs="Calibri"/>
                <w:b/>
                <w:lang w:val="nl-NL"/>
              </w:rPr>
              <w:t xml:space="preserve">discussion of </w:t>
            </w:r>
            <w:r w:rsidR="00BB3049" w:rsidRPr="001F0670">
              <w:rPr>
                <w:rFonts w:cs="Calibri"/>
                <w:b/>
                <w:lang w:val="nl-NL"/>
              </w:rPr>
              <w:t>the issue</w:t>
            </w:r>
            <w:r w:rsidR="00B361E4" w:rsidRPr="001F0670">
              <w:rPr>
                <w:rFonts w:cs="Calibri"/>
                <w:b/>
                <w:lang w:val="nl-NL"/>
              </w:rPr>
              <w:t>, e</w:t>
            </w:r>
            <w:r w:rsidR="00F76413" w:rsidRPr="001F0670">
              <w:rPr>
                <w:rFonts w:cs="Calibri"/>
                <w:b/>
                <w:lang w:val="nl-NL"/>
              </w:rPr>
              <w:t>. g.</w:t>
            </w:r>
            <w:r w:rsidR="00B361E4" w:rsidRPr="001F0670">
              <w:rPr>
                <w:rFonts w:cs="Calibri"/>
                <w:b/>
                <w:lang w:val="nl-NL"/>
              </w:rPr>
              <w:t xml:space="preserve"> the travel route of the applicant</w:t>
            </w:r>
            <w:r w:rsidR="00B66461" w:rsidRPr="001F0670">
              <w:rPr>
                <w:rFonts w:cs="Calibri"/>
                <w:b/>
                <w:lang w:val="nl-NL"/>
              </w:rPr>
              <w:t xml:space="preserve"> and his long stay in Greece</w:t>
            </w:r>
            <w:r w:rsidR="00B361E4" w:rsidRPr="001F0670">
              <w:rPr>
                <w:rFonts w:cs="Calibri"/>
                <w:b/>
                <w:lang w:val="nl-NL"/>
              </w:rPr>
              <w:t xml:space="preserve">, was </w:t>
            </w:r>
            <w:r w:rsidR="00BB3049" w:rsidRPr="001F0670">
              <w:rPr>
                <w:rFonts w:cs="Calibri"/>
                <w:b/>
                <w:lang w:val="nl-NL"/>
              </w:rPr>
              <w:t>lacking.</w:t>
            </w:r>
            <w:r w:rsidR="00752A54" w:rsidRPr="001F0670">
              <w:rPr>
                <w:rFonts w:cs="Calibri"/>
                <w:b/>
                <w:lang w:val="nl-NL"/>
              </w:rPr>
              <w:t xml:space="preserve"> Furthermore</w:t>
            </w:r>
            <w:r w:rsidR="00CC1366" w:rsidRPr="001F0670">
              <w:rPr>
                <w:rFonts w:cs="Calibri"/>
                <w:b/>
                <w:lang w:val="nl-NL"/>
              </w:rPr>
              <w:t>,</w:t>
            </w:r>
            <w:r w:rsidR="00B66461" w:rsidRPr="001F0670">
              <w:rPr>
                <w:rFonts w:cs="Calibri"/>
                <w:b/>
                <w:lang w:val="nl-NL"/>
              </w:rPr>
              <w:t xml:space="preserve"> it stated that the Asylum Court based its decision only on the argument that Italy </w:t>
            </w:r>
            <w:r w:rsidR="00752A54" w:rsidRPr="001F0670">
              <w:rPr>
                <w:rFonts w:cs="Calibri"/>
                <w:b/>
                <w:lang w:val="nl-NL"/>
              </w:rPr>
              <w:t>did not</w:t>
            </w:r>
            <w:r w:rsidR="00B66461" w:rsidRPr="001F0670">
              <w:rPr>
                <w:rFonts w:cs="Calibri"/>
                <w:b/>
                <w:lang w:val="nl-NL"/>
              </w:rPr>
              <w:t xml:space="preserve"> respond </w:t>
            </w:r>
            <w:r w:rsidR="00CC1366" w:rsidRPr="001F0670">
              <w:rPr>
                <w:rFonts w:cs="Calibri"/>
                <w:b/>
                <w:lang w:val="nl-NL"/>
              </w:rPr>
              <w:t>to</w:t>
            </w:r>
            <w:r w:rsidR="00B66461" w:rsidRPr="001F0670">
              <w:rPr>
                <w:rFonts w:cs="Calibri"/>
                <w:b/>
                <w:lang w:val="nl-NL"/>
              </w:rPr>
              <w:t xml:space="preserve"> the request to take charge of the applicant, </w:t>
            </w:r>
            <w:r w:rsidR="00752A54" w:rsidRPr="001F0670">
              <w:rPr>
                <w:rFonts w:cs="Calibri"/>
                <w:b/>
                <w:lang w:val="nl-NL"/>
              </w:rPr>
              <w:t>which is considered</w:t>
            </w:r>
            <w:r w:rsidR="00B66461" w:rsidRPr="001F0670">
              <w:rPr>
                <w:rFonts w:cs="Calibri"/>
                <w:b/>
                <w:lang w:val="nl-NL"/>
              </w:rPr>
              <w:t xml:space="preserve"> insufficient </w:t>
            </w:r>
            <w:r w:rsidR="00467B63" w:rsidRPr="001F0670">
              <w:rPr>
                <w:rFonts w:cs="Calibri"/>
                <w:b/>
                <w:lang w:val="nl-NL"/>
              </w:rPr>
              <w:t>for a take back proce</w:t>
            </w:r>
            <w:r w:rsidR="00B66461" w:rsidRPr="001F0670">
              <w:rPr>
                <w:rFonts w:cs="Calibri"/>
                <w:b/>
                <w:lang w:val="nl-NL"/>
              </w:rPr>
              <w:t xml:space="preserve">dure. </w:t>
            </w:r>
          </w:p>
          <w:p w:rsidR="00BB3049" w:rsidRPr="001F0670" w:rsidRDefault="00B66461" w:rsidP="00752A54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  <w:r w:rsidRPr="001F0670">
              <w:rPr>
                <w:rFonts w:cs="Calibri"/>
                <w:b/>
                <w:lang w:val="nl-NL"/>
              </w:rPr>
              <w:t xml:space="preserve">Therefore the </w:t>
            </w:r>
            <w:r w:rsidR="00752A54" w:rsidRPr="001F0670">
              <w:rPr>
                <w:rFonts w:cs="Calibri"/>
                <w:b/>
                <w:lang w:val="nl-NL"/>
              </w:rPr>
              <w:t xml:space="preserve">reasons for the </w:t>
            </w:r>
            <w:r w:rsidR="00CC1366" w:rsidRPr="001F0670">
              <w:rPr>
                <w:rFonts w:cs="Calibri"/>
                <w:b/>
                <w:lang w:val="nl-NL"/>
              </w:rPr>
              <w:t xml:space="preserve">decision where not sufficient </w:t>
            </w:r>
            <w:r w:rsidR="00752A54" w:rsidRPr="001F0670">
              <w:rPr>
                <w:rFonts w:cs="Calibri"/>
                <w:b/>
                <w:lang w:val="nl-NL"/>
              </w:rPr>
              <w:t xml:space="preserve">and the Asylum Court’s decision violated the asylum applicant in his right </w:t>
            </w:r>
            <w:r w:rsidR="00CC1366" w:rsidRPr="001F0670">
              <w:rPr>
                <w:rFonts w:cs="Calibri"/>
                <w:b/>
                <w:lang w:val="nl-NL"/>
              </w:rPr>
              <w:t>to</w:t>
            </w:r>
            <w:r w:rsidR="00752A54" w:rsidRPr="001F0670">
              <w:rPr>
                <w:rFonts w:cs="Calibri"/>
                <w:b/>
                <w:lang w:val="nl-NL"/>
              </w:rPr>
              <w:t xml:space="preserve"> equal treatment</w:t>
            </w:r>
            <w:r w:rsidRPr="001F0670">
              <w:rPr>
                <w:rFonts w:cs="Calibri"/>
                <w:b/>
                <w:lang w:val="nl-NL"/>
              </w:rPr>
              <w:t>.</w:t>
            </w:r>
          </w:p>
        </w:tc>
      </w:tr>
      <w:tr w:rsidR="00B56429" w:rsidRPr="001F0670" w:rsidTr="00EC0DAC">
        <w:trPr>
          <w:trHeight w:val="385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/>
                <w:lang w:val="nl-NL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9D158F" w:rsidRDefault="00B56429" w:rsidP="00344420">
            <w:pPr>
              <w:spacing w:after="0" w:line="240" w:lineRule="auto"/>
              <w:rPr>
                <w:rFonts w:cs="Calibri"/>
                <w:i/>
                <w:lang w:val="en-US"/>
              </w:rPr>
            </w:pPr>
            <w:r w:rsidRPr="009D158F">
              <w:rPr>
                <w:rFonts w:cs="Calibri"/>
                <w:i/>
                <w:lang w:val="en-US"/>
              </w:rPr>
              <w:t xml:space="preserve">Relevant extracts from the </w:t>
            </w:r>
            <w:proofErr w:type="spellStart"/>
            <w:r w:rsidRPr="009D158F">
              <w:rPr>
                <w:rFonts w:cs="Calibri"/>
                <w:i/>
                <w:lang w:val="en-US"/>
              </w:rPr>
              <w:t>judgement</w:t>
            </w:r>
            <w:proofErr w:type="spellEnd"/>
          </w:p>
        </w:tc>
        <w:tc>
          <w:tcPr>
            <w:tcW w:w="6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429" w:rsidRPr="001F0670" w:rsidRDefault="00B56429" w:rsidP="00033C74">
            <w:pPr>
              <w:spacing w:after="0" w:line="240" w:lineRule="auto"/>
              <w:rPr>
                <w:rFonts w:cs="Calibri"/>
                <w:b/>
                <w:lang w:val="nl-NL"/>
              </w:rPr>
            </w:pPr>
          </w:p>
        </w:tc>
      </w:tr>
      <w:tr w:rsidR="00B56429" w:rsidRPr="00F26BE2" w:rsidTr="00EC0DAC">
        <w:trPr>
          <w:trHeight w:val="325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lang w:val="nl-NL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i/>
              </w:rPr>
            </w:pPr>
            <w:r w:rsidRPr="00F26BE2">
              <w:rPr>
                <w:rFonts w:cs="Calibri"/>
                <w:i/>
              </w:rPr>
              <w:t>Outcome</w:t>
            </w:r>
            <w:r>
              <w:rPr>
                <w:rFonts w:cs="Calibri"/>
                <w:i/>
              </w:rPr>
              <w:t xml:space="preserve"> of proceedings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429" w:rsidRPr="00677B71" w:rsidRDefault="00B56429" w:rsidP="00033C74">
            <w:pPr>
              <w:spacing w:after="0" w:line="240" w:lineRule="auto"/>
              <w:rPr>
                <w:rFonts w:cs="Calibri"/>
                <w:bCs/>
                <w:lang w:val="nl-NL"/>
              </w:rPr>
            </w:pPr>
          </w:p>
        </w:tc>
      </w:tr>
      <w:tr w:rsidR="00B56429" w:rsidRPr="00F26BE2" w:rsidTr="00EC0DAC">
        <w:tc>
          <w:tcPr>
            <w:tcW w:w="2694" w:type="dxa"/>
            <w:gridSpan w:val="2"/>
            <w:tcBorders>
              <w:top w:val="nil"/>
            </w:tcBorders>
          </w:tcPr>
          <w:p w:rsidR="00B56429" w:rsidRPr="00752A54" w:rsidRDefault="00B56429" w:rsidP="00033C74">
            <w:pPr>
              <w:spacing w:after="0" w:line="240" w:lineRule="auto"/>
              <w:rPr>
                <w:rFonts w:cs="Calibri"/>
              </w:rPr>
            </w:pPr>
            <w:r w:rsidRPr="00752A54">
              <w:rPr>
                <w:rFonts w:cs="Calibri"/>
              </w:rPr>
              <w:t>Subsequent Proceedings</w:t>
            </w:r>
          </w:p>
        </w:tc>
        <w:tc>
          <w:tcPr>
            <w:tcW w:w="6770" w:type="dxa"/>
            <w:gridSpan w:val="2"/>
          </w:tcPr>
          <w:p w:rsidR="00B56429" w:rsidRPr="00752A54" w:rsidRDefault="00B56429" w:rsidP="00033C74">
            <w:pPr>
              <w:spacing w:after="0" w:line="240" w:lineRule="auto"/>
              <w:rPr>
                <w:rFonts w:cs="Calibri"/>
                <w:b/>
                <w:lang w:val="nl-NL"/>
              </w:rPr>
            </w:pPr>
          </w:p>
        </w:tc>
      </w:tr>
      <w:tr w:rsidR="00B56429" w:rsidRPr="00F22DDD" w:rsidTr="00EC0DAC">
        <w:tc>
          <w:tcPr>
            <w:tcW w:w="2694" w:type="dxa"/>
            <w:gridSpan w:val="2"/>
          </w:tcPr>
          <w:p w:rsidR="00B56429" w:rsidRPr="00752A54" w:rsidRDefault="00B56429" w:rsidP="00033C74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752A54">
              <w:rPr>
                <w:rFonts w:cs="Calibri"/>
                <w:bCs/>
                <w:lang w:val="en-US"/>
              </w:rPr>
              <w:t xml:space="preserve">Dublin regulation’s legal provisions applicable </w:t>
            </w:r>
          </w:p>
        </w:tc>
        <w:tc>
          <w:tcPr>
            <w:tcW w:w="6770" w:type="dxa"/>
            <w:gridSpan w:val="2"/>
          </w:tcPr>
          <w:p w:rsidR="00B56429" w:rsidRPr="00752A54" w:rsidRDefault="00234421" w:rsidP="00033C74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752A54">
              <w:rPr>
                <w:rFonts w:cs="Calibri"/>
                <w:b/>
                <w:lang w:val="en-US"/>
              </w:rPr>
              <w:t>Art 5, Art 16, Art 20</w:t>
            </w:r>
          </w:p>
        </w:tc>
      </w:tr>
      <w:tr w:rsidR="00B56429" w:rsidRPr="00F26BE2" w:rsidTr="00EC0DAC">
        <w:trPr>
          <w:cantSplit/>
        </w:trPr>
        <w:tc>
          <w:tcPr>
            <w:tcW w:w="2694" w:type="dxa"/>
            <w:gridSpan w:val="2"/>
            <w:vMerge w:val="restart"/>
          </w:tcPr>
          <w:p w:rsidR="00B56429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  <w:r w:rsidRPr="00F26BE2">
              <w:rPr>
                <w:rFonts w:cs="Calibri"/>
                <w:bCs/>
              </w:rPr>
              <w:t xml:space="preserve">Legal provisions cited </w:t>
            </w:r>
          </w:p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</w:rPr>
              <w:t xml:space="preserve">(national &amp; international </w:t>
            </w:r>
            <w:r>
              <w:rPr>
                <w:rFonts w:cs="Calibri"/>
                <w:bCs/>
              </w:rPr>
              <w:lastRenderedPageBreak/>
              <w:t>references)</w:t>
            </w:r>
          </w:p>
        </w:tc>
        <w:tc>
          <w:tcPr>
            <w:tcW w:w="3433" w:type="dxa"/>
          </w:tcPr>
          <w:p w:rsidR="00B56429" w:rsidRDefault="00B56429" w:rsidP="00033C74">
            <w:pPr>
              <w:spacing w:after="0" w:line="240" w:lineRule="auto"/>
              <w:rPr>
                <w:rFonts w:cs="Calibri"/>
                <w:bCs/>
                <w:i/>
                <w:iCs/>
                <w:lang w:val="en-US"/>
              </w:rPr>
            </w:pPr>
            <w:r>
              <w:rPr>
                <w:rFonts w:cs="Calibri"/>
                <w:bCs/>
                <w:i/>
                <w:iCs/>
                <w:lang w:val="en-US"/>
              </w:rPr>
              <w:lastRenderedPageBreak/>
              <w:t>Legislation</w:t>
            </w:r>
          </w:p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  <w:i/>
                <w:iCs/>
                <w:lang w:val="en-US"/>
              </w:rPr>
            </w:pPr>
          </w:p>
        </w:tc>
        <w:tc>
          <w:tcPr>
            <w:tcW w:w="3337" w:type="dxa"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  <w:i/>
                <w:iCs/>
                <w:lang w:val="en-US"/>
              </w:rPr>
            </w:pPr>
            <w:r w:rsidRPr="00F26BE2">
              <w:rPr>
                <w:rFonts w:cs="Calibri"/>
                <w:bCs/>
                <w:i/>
                <w:iCs/>
                <w:lang w:val="en-US"/>
              </w:rPr>
              <w:t>Articles</w:t>
            </w:r>
          </w:p>
        </w:tc>
      </w:tr>
      <w:tr w:rsidR="00B56429" w:rsidRPr="00F26BE2" w:rsidTr="00EC0DAC">
        <w:trPr>
          <w:cantSplit/>
        </w:trPr>
        <w:tc>
          <w:tcPr>
            <w:tcW w:w="2694" w:type="dxa"/>
            <w:gridSpan w:val="2"/>
            <w:vMerge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433" w:type="dxa"/>
            <w:tcBorders>
              <w:bottom w:val="dashed" w:sz="4" w:space="0" w:color="auto"/>
              <w:right w:val="dashed" w:sz="4" w:space="0" w:color="auto"/>
            </w:tcBorders>
          </w:tcPr>
          <w:p w:rsidR="00B56429" w:rsidRPr="00F26BE2" w:rsidRDefault="00234421" w:rsidP="00033C74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BVG-</w:t>
            </w:r>
            <w:proofErr w:type="spellStart"/>
            <w:r>
              <w:rPr>
                <w:rFonts w:cs="Calibri"/>
                <w:bCs/>
                <w:lang w:val="en-US"/>
              </w:rPr>
              <w:t>Rassendiskriminierung</w:t>
            </w:r>
            <w:proofErr w:type="spellEnd"/>
            <w:r w:rsidR="00752A54">
              <w:rPr>
                <w:rFonts w:cs="Calibri"/>
                <w:bCs/>
                <w:lang w:val="en-US"/>
              </w:rPr>
              <w:t xml:space="preserve"> (Constitutional Law against racial discrimination)</w:t>
            </w:r>
          </w:p>
        </w:tc>
        <w:tc>
          <w:tcPr>
            <w:tcW w:w="3337" w:type="dxa"/>
            <w:tcBorders>
              <w:left w:val="dashed" w:sz="4" w:space="0" w:color="auto"/>
              <w:bottom w:val="dashed" w:sz="4" w:space="0" w:color="auto"/>
            </w:tcBorders>
          </w:tcPr>
          <w:p w:rsidR="00B56429" w:rsidRPr="00F26BE2" w:rsidRDefault="00234421" w:rsidP="00752A54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Art I </w:t>
            </w:r>
            <w:r w:rsidR="00752A54">
              <w:rPr>
                <w:rFonts w:cs="Calibri"/>
                <w:bCs/>
                <w:lang w:val="en-US"/>
              </w:rPr>
              <w:t>§</w:t>
            </w:r>
            <w:r>
              <w:rPr>
                <w:rFonts w:cs="Calibri"/>
                <w:bCs/>
                <w:lang w:val="en-US"/>
              </w:rPr>
              <w:t xml:space="preserve"> 1</w:t>
            </w:r>
          </w:p>
        </w:tc>
      </w:tr>
      <w:tr w:rsidR="00B56429" w:rsidRPr="00F26BE2" w:rsidTr="00EC0DAC">
        <w:trPr>
          <w:cantSplit/>
        </w:trPr>
        <w:tc>
          <w:tcPr>
            <w:tcW w:w="2694" w:type="dxa"/>
            <w:gridSpan w:val="2"/>
            <w:vMerge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433" w:type="dxa"/>
            <w:tcBorders>
              <w:top w:val="dashed" w:sz="4" w:space="0" w:color="auto"/>
              <w:right w:val="dashed" w:sz="4" w:space="0" w:color="auto"/>
            </w:tcBorders>
          </w:tcPr>
          <w:p w:rsidR="00B56429" w:rsidRPr="00F26BE2" w:rsidRDefault="00234421" w:rsidP="00033C74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Asylum Law (</w:t>
            </w:r>
            <w:proofErr w:type="spellStart"/>
            <w:r>
              <w:rPr>
                <w:rFonts w:cs="Calibri"/>
                <w:bCs/>
                <w:lang w:val="en-US"/>
              </w:rPr>
              <w:t>Asylgesetz</w:t>
            </w:r>
            <w:proofErr w:type="spellEnd"/>
            <w:r>
              <w:rPr>
                <w:rFonts w:cs="Calibri"/>
                <w:bCs/>
                <w:lang w:val="en-US"/>
              </w:rPr>
              <w:t xml:space="preserve"> 2005)</w:t>
            </w:r>
          </w:p>
        </w:tc>
        <w:tc>
          <w:tcPr>
            <w:tcW w:w="3337" w:type="dxa"/>
            <w:tcBorders>
              <w:top w:val="dashed" w:sz="4" w:space="0" w:color="auto"/>
              <w:left w:val="dashed" w:sz="4" w:space="0" w:color="auto"/>
            </w:tcBorders>
          </w:tcPr>
          <w:p w:rsidR="00B56429" w:rsidRPr="00F26BE2" w:rsidRDefault="00234421" w:rsidP="00033C74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§§ 5, 10</w:t>
            </w:r>
          </w:p>
        </w:tc>
      </w:tr>
      <w:tr w:rsidR="00B56429" w:rsidRPr="00F26BE2" w:rsidTr="00EC0DAC">
        <w:trPr>
          <w:cantSplit/>
          <w:trHeight w:val="304"/>
        </w:trPr>
        <w:tc>
          <w:tcPr>
            <w:tcW w:w="2694" w:type="dxa"/>
            <w:gridSpan w:val="2"/>
            <w:vMerge w:val="restart"/>
          </w:tcPr>
          <w:p w:rsidR="00B56429" w:rsidRPr="00BB4B72" w:rsidRDefault="00B56429" w:rsidP="00033C74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BB4B72">
              <w:rPr>
                <w:rFonts w:cs="Calibri"/>
                <w:bCs/>
                <w:lang w:val="en-US"/>
              </w:rPr>
              <w:t>Case law cited</w:t>
            </w:r>
          </w:p>
          <w:p w:rsidR="00B56429" w:rsidRPr="00BB4B72" w:rsidRDefault="00B56429" w:rsidP="00033C74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BB4B72">
              <w:rPr>
                <w:rFonts w:cs="Calibri"/>
                <w:bCs/>
                <w:lang w:val="en-US"/>
              </w:rPr>
              <w:t xml:space="preserve">(national </w:t>
            </w:r>
            <w:r>
              <w:rPr>
                <w:rFonts w:cs="Calibri"/>
                <w:bCs/>
                <w:lang w:val="en-US"/>
              </w:rPr>
              <w:t>&amp;</w:t>
            </w:r>
            <w:r w:rsidRPr="00BB4B72">
              <w:rPr>
                <w:rFonts w:cs="Calibri"/>
                <w:bCs/>
                <w:lang w:val="en-US"/>
              </w:rPr>
              <w:t xml:space="preserve"> international references)</w:t>
            </w:r>
          </w:p>
        </w:tc>
        <w:tc>
          <w:tcPr>
            <w:tcW w:w="3433" w:type="dxa"/>
          </w:tcPr>
          <w:p w:rsidR="00B56429" w:rsidRDefault="00B56429" w:rsidP="00033C74">
            <w:pPr>
              <w:spacing w:after="0" w:line="240" w:lineRule="auto"/>
              <w:rPr>
                <w:rFonts w:cs="Calibri"/>
                <w:bCs/>
                <w:i/>
                <w:iCs/>
              </w:rPr>
            </w:pPr>
            <w:r w:rsidRPr="00F26BE2">
              <w:rPr>
                <w:rFonts w:cs="Calibri"/>
                <w:bCs/>
                <w:i/>
                <w:iCs/>
              </w:rPr>
              <w:t>Court name</w:t>
            </w:r>
          </w:p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  <w:i/>
                <w:iCs/>
              </w:rPr>
            </w:pPr>
          </w:p>
        </w:tc>
        <w:tc>
          <w:tcPr>
            <w:tcW w:w="3337" w:type="dxa"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  <w:i/>
                <w:iCs/>
              </w:rPr>
            </w:pPr>
            <w:r>
              <w:rPr>
                <w:rFonts w:cs="Calibri"/>
                <w:bCs/>
                <w:i/>
                <w:iCs/>
              </w:rPr>
              <w:t>Neutral citation</w:t>
            </w:r>
          </w:p>
        </w:tc>
      </w:tr>
      <w:tr w:rsidR="00B56429" w:rsidRPr="00F26BE2" w:rsidTr="00EC0DAC">
        <w:trPr>
          <w:cantSplit/>
          <w:trHeight w:val="266"/>
        </w:trPr>
        <w:tc>
          <w:tcPr>
            <w:tcW w:w="2694" w:type="dxa"/>
            <w:gridSpan w:val="2"/>
            <w:vMerge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433" w:type="dxa"/>
            <w:tcBorders>
              <w:bottom w:val="dashed" w:sz="4" w:space="0" w:color="auto"/>
              <w:right w:val="dashed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337" w:type="dxa"/>
            <w:tcBorders>
              <w:left w:val="dashed" w:sz="4" w:space="0" w:color="auto"/>
              <w:bottom w:val="dashed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B56429" w:rsidRPr="00F26BE2" w:rsidTr="00EC0DAC">
        <w:trPr>
          <w:cantSplit/>
          <w:trHeight w:val="232"/>
        </w:trPr>
        <w:tc>
          <w:tcPr>
            <w:tcW w:w="2694" w:type="dxa"/>
            <w:gridSpan w:val="2"/>
            <w:vMerge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433" w:type="dxa"/>
            <w:tcBorders>
              <w:top w:val="dashed" w:sz="4" w:space="0" w:color="auto"/>
              <w:right w:val="dashed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337" w:type="dxa"/>
            <w:tcBorders>
              <w:top w:val="dashed" w:sz="4" w:space="0" w:color="auto"/>
              <w:left w:val="dashed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B56429" w:rsidRPr="00F26BE2" w:rsidTr="00EC0DAC">
        <w:trPr>
          <w:cantSplit/>
          <w:trHeight w:val="274"/>
        </w:trPr>
        <w:tc>
          <w:tcPr>
            <w:tcW w:w="2694" w:type="dxa"/>
            <w:gridSpan w:val="2"/>
            <w:vMerge w:val="restart"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  <w:r w:rsidRPr="00F26BE2">
              <w:rPr>
                <w:rFonts w:cs="Calibri"/>
                <w:bCs/>
              </w:rPr>
              <w:t xml:space="preserve">Other sources cited (NGO reports etc) </w:t>
            </w:r>
          </w:p>
        </w:tc>
        <w:tc>
          <w:tcPr>
            <w:tcW w:w="3433" w:type="dxa"/>
          </w:tcPr>
          <w:p w:rsidR="00B56429" w:rsidRDefault="00B56429" w:rsidP="00033C74">
            <w:pPr>
              <w:tabs>
                <w:tab w:val="left" w:pos="1575"/>
              </w:tabs>
              <w:spacing w:after="0" w:line="240" w:lineRule="auto"/>
              <w:rPr>
                <w:rFonts w:cs="Calibri"/>
                <w:bCs/>
                <w:i/>
                <w:iCs/>
              </w:rPr>
            </w:pPr>
            <w:r w:rsidRPr="00F26BE2">
              <w:rPr>
                <w:rFonts w:cs="Calibri"/>
                <w:bCs/>
                <w:i/>
                <w:iCs/>
              </w:rPr>
              <w:t>Organization</w:t>
            </w:r>
            <w:r w:rsidRPr="00F26BE2">
              <w:rPr>
                <w:rFonts w:cs="Calibri"/>
                <w:bCs/>
                <w:i/>
                <w:iCs/>
              </w:rPr>
              <w:tab/>
            </w:r>
          </w:p>
          <w:p w:rsidR="00B56429" w:rsidRPr="00F26BE2" w:rsidRDefault="00B56429" w:rsidP="00033C74">
            <w:pPr>
              <w:tabs>
                <w:tab w:val="left" w:pos="1575"/>
              </w:tabs>
              <w:spacing w:after="0" w:line="240" w:lineRule="auto"/>
              <w:rPr>
                <w:rFonts w:cs="Calibri"/>
                <w:bCs/>
                <w:i/>
                <w:iCs/>
              </w:rPr>
            </w:pPr>
          </w:p>
        </w:tc>
        <w:tc>
          <w:tcPr>
            <w:tcW w:w="3337" w:type="dxa"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  <w:i/>
                <w:iCs/>
              </w:rPr>
            </w:pPr>
            <w:r w:rsidRPr="00F26BE2">
              <w:rPr>
                <w:rFonts w:cs="Calibri"/>
                <w:bCs/>
                <w:i/>
                <w:iCs/>
              </w:rPr>
              <w:t>Reference</w:t>
            </w:r>
          </w:p>
        </w:tc>
      </w:tr>
      <w:tr w:rsidR="00B56429" w:rsidRPr="00F26BE2" w:rsidTr="00EC0DAC">
        <w:trPr>
          <w:cantSplit/>
          <w:trHeight w:val="278"/>
        </w:trPr>
        <w:tc>
          <w:tcPr>
            <w:tcW w:w="2694" w:type="dxa"/>
            <w:gridSpan w:val="2"/>
            <w:vMerge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433" w:type="dxa"/>
            <w:tcBorders>
              <w:bottom w:val="dashed" w:sz="4" w:space="0" w:color="auto"/>
              <w:right w:val="dashed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337" w:type="dxa"/>
            <w:tcBorders>
              <w:left w:val="dashed" w:sz="4" w:space="0" w:color="auto"/>
              <w:bottom w:val="dashed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B56429" w:rsidRPr="00F26BE2" w:rsidTr="00EC0DAC">
        <w:trPr>
          <w:cantSplit/>
          <w:trHeight w:val="282"/>
        </w:trPr>
        <w:tc>
          <w:tcPr>
            <w:tcW w:w="2694" w:type="dxa"/>
            <w:gridSpan w:val="2"/>
            <w:vMerge/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33" w:type="dxa"/>
            <w:tcBorders>
              <w:top w:val="dashed" w:sz="4" w:space="0" w:color="auto"/>
              <w:right w:val="dashed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337" w:type="dxa"/>
            <w:tcBorders>
              <w:top w:val="dashed" w:sz="4" w:space="0" w:color="auto"/>
              <w:left w:val="dashed" w:sz="4" w:space="0" w:color="auto"/>
            </w:tcBorders>
          </w:tcPr>
          <w:p w:rsidR="00B56429" w:rsidRPr="00F26BE2" w:rsidRDefault="00B56429" w:rsidP="00033C74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56429" w:rsidRPr="00CC1366" w:rsidTr="00EC0DAC">
        <w:tc>
          <w:tcPr>
            <w:tcW w:w="2694" w:type="dxa"/>
            <w:gridSpan w:val="2"/>
          </w:tcPr>
          <w:p w:rsidR="00B56429" w:rsidRDefault="00B56429" w:rsidP="00033C74">
            <w:pPr>
              <w:spacing w:after="0" w:line="240" w:lineRule="auto"/>
              <w:rPr>
                <w:rFonts w:cs="Calibri"/>
              </w:rPr>
            </w:pPr>
            <w:r w:rsidRPr="00F26BE2">
              <w:rPr>
                <w:rFonts w:cs="Calibri"/>
              </w:rPr>
              <w:t>Observations/Comments</w:t>
            </w:r>
          </w:p>
          <w:p w:rsidR="00B56429" w:rsidRPr="00F26BE2" w:rsidRDefault="00B56429" w:rsidP="00033C7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770" w:type="dxa"/>
            <w:gridSpan w:val="2"/>
          </w:tcPr>
          <w:p w:rsidR="00344420" w:rsidRDefault="00752A54" w:rsidP="00752A54">
            <w:pPr>
              <w:spacing w:after="0" w:line="240" w:lineRule="auto"/>
              <w:jc w:val="both"/>
              <w:rPr>
                <w:rFonts w:cs="Calibri"/>
                <w:b/>
                <w:lang w:val="en-GB"/>
              </w:rPr>
            </w:pPr>
            <w:r w:rsidRPr="00752A54">
              <w:rPr>
                <w:rFonts w:cs="Calibri"/>
                <w:b/>
                <w:lang w:val="en-GB"/>
              </w:rPr>
              <w:t>It is</w:t>
            </w:r>
            <w:r w:rsidR="00F76413" w:rsidRPr="00752A54">
              <w:rPr>
                <w:rFonts w:cs="Calibri"/>
                <w:b/>
                <w:lang w:val="en-GB"/>
              </w:rPr>
              <w:t xml:space="preserve"> clear that Austrian asylum authorities must consider bot</w:t>
            </w:r>
            <w:r w:rsidR="00FE0379" w:rsidRPr="00752A54">
              <w:rPr>
                <w:rFonts w:cs="Calibri"/>
                <w:b/>
                <w:lang w:val="en-GB"/>
              </w:rPr>
              <w:t xml:space="preserve">h the Dublin II Regulation and its hierarchy of criteria </w:t>
            </w:r>
            <w:r w:rsidR="00F76413" w:rsidRPr="00752A54">
              <w:rPr>
                <w:rFonts w:cs="Calibri"/>
                <w:b/>
                <w:lang w:val="en-GB"/>
              </w:rPr>
              <w:t xml:space="preserve">and </w:t>
            </w:r>
            <w:r w:rsidR="00A60C9E" w:rsidRPr="00752A54">
              <w:rPr>
                <w:rFonts w:cs="Calibri"/>
                <w:b/>
                <w:lang w:val="en-GB"/>
              </w:rPr>
              <w:t>all circumstances of the case</w:t>
            </w:r>
            <w:r w:rsidR="00F76413" w:rsidRPr="001F0670">
              <w:rPr>
                <w:rFonts w:cs="Calibri"/>
                <w:b/>
                <w:lang w:val="en-GB"/>
              </w:rPr>
              <w:t>.</w:t>
            </w:r>
            <w:r w:rsidR="00CC1366" w:rsidRPr="001F0670">
              <w:rPr>
                <w:rFonts w:cs="Calibri"/>
                <w:b/>
                <w:lang w:val="en-GB"/>
              </w:rPr>
              <w:t xml:space="preserve"> </w:t>
            </w:r>
          </w:p>
          <w:p w:rsidR="00B56429" w:rsidRPr="00752A54" w:rsidRDefault="00CC1366" w:rsidP="00752A54">
            <w:pPr>
              <w:spacing w:after="0" w:line="240" w:lineRule="auto"/>
              <w:jc w:val="both"/>
              <w:rPr>
                <w:rFonts w:cs="Calibri"/>
                <w:b/>
                <w:lang w:val="en-GB"/>
              </w:rPr>
            </w:pPr>
            <w:r w:rsidRPr="001F0670">
              <w:rPr>
                <w:rFonts w:cs="Calibri"/>
                <w:b/>
                <w:lang w:val="en-GB"/>
              </w:rPr>
              <w:t>Austrian Asylum Authorities</w:t>
            </w:r>
            <w:r w:rsidR="00F76413" w:rsidRPr="001F0670">
              <w:rPr>
                <w:rFonts w:cs="Calibri"/>
                <w:b/>
                <w:lang w:val="en-GB"/>
              </w:rPr>
              <w:t xml:space="preserve"> </w:t>
            </w:r>
            <w:r w:rsidRPr="001F0670">
              <w:rPr>
                <w:rFonts w:cs="Calibri"/>
                <w:b/>
                <w:lang w:val="en-GB"/>
              </w:rPr>
              <w:t xml:space="preserve">must not arbitrarily focus on one aspect of a given asylum case without exploring other issues such as </w:t>
            </w:r>
            <w:r w:rsidR="00CC287D" w:rsidRPr="001F0670">
              <w:rPr>
                <w:rFonts w:cs="Calibri"/>
                <w:b/>
                <w:lang w:val="en-GB"/>
              </w:rPr>
              <w:t>travel route and</w:t>
            </w:r>
            <w:r w:rsidR="00F76413" w:rsidRPr="001F0670">
              <w:rPr>
                <w:rFonts w:cs="Calibri"/>
                <w:b/>
                <w:lang w:val="en-GB"/>
              </w:rPr>
              <w:t xml:space="preserve"> duration of stays.</w:t>
            </w:r>
          </w:p>
        </w:tc>
      </w:tr>
    </w:tbl>
    <w:p w:rsidR="00B56429" w:rsidRPr="00CC1366" w:rsidRDefault="00B56429" w:rsidP="00B56429">
      <w:pPr>
        <w:spacing w:after="0" w:line="240" w:lineRule="auto"/>
        <w:rPr>
          <w:rFonts w:cs="Calibri"/>
          <w:lang w:val="en-GB"/>
        </w:rPr>
      </w:pPr>
    </w:p>
    <w:p w:rsidR="008D60D5" w:rsidRPr="00CC1366" w:rsidRDefault="008D60D5">
      <w:pPr>
        <w:rPr>
          <w:lang w:val="en-GB"/>
        </w:rPr>
      </w:pPr>
    </w:p>
    <w:sectPr w:rsidR="008D60D5" w:rsidRPr="00CC1366" w:rsidSect="00033C7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40" w:rsidRDefault="00F36840" w:rsidP="00B56429">
      <w:pPr>
        <w:spacing w:after="0" w:line="240" w:lineRule="auto"/>
      </w:pPr>
      <w:r>
        <w:separator/>
      </w:r>
    </w:p>
  </w:endnote>
  <w:endnote w:type="continuationSeparator" w:id="0">
    <w:p w:rsidR="00F36840" w:rsidRDefault="00F36840" w:rsidP="00B5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40" w:rsidRDefault="00F36840" w:rsidP="00B56429">
      <w:pPr>
        <w:spacing w:after="0" w:line="240" w:lineRule="auto"/>
      </w:pPr>
      <w:r>
        <w:separator/>
      </w:r>
    </w:p>
  </w:footnote>
  <w:footnote w:type="continuationSeparator" w:id="0">
    <w:p w:rsidR="00F36840" w:rsidRDefault="00F36840" w:rsidP="00B56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29"/>
    <w:rsid w:val="00033C74"/>
    <w:rsid w:val="0006030C"/>
    <w:rsid w:val="000B0536"/>
    <w:rsid w:val="001F0670"/>
    <w:rsid w:val="00234421"/>
    <w:rsid w:val="00314835"/>
    <w:rsid w:val="003232C9"/>
    <w:rsid w:val="003370E3"/>
    <w:rsid w:val="00344420"/>
    <w:rsid w:val="00394547"/>
    <w:rsid w:val="003B61DA"/>
    <w:rsid w:val="00467B63"/>
    <w:rsid w:val="0049758C"/>
    <w:rsid w:val="005E350E"/>
    <w:rsid w:val="0063046B"/>
    <w:rsid w:val="00677B71"/>
    <w:rsid w:val="006B1BC0"/>
    <w:rsid w:val="00752A54"/>
    <w:rsid w:val="008D60D5"/>
    <w:rsid w:val="00A60C9E"/>
    <w:rsid w:val="00A828E2"/>
    <w:rsid w:val="00B16B35"/>
    <w:rsid w:val="00B361E4"/>
    <w:rsid w:val="00B56429"/>
    <w:rsid w:val="00B66461"/>
    <w:rsid w:val="00B91017"/>
    <w:rsid w:val="00BB3049"/>
    <w:rsid w:val="00C32041"/>
    <w:rsid w:val="00C45ECB"/>
    <w:rsid w:val="00C8389E"/>
    <w:rsid w:val="00CC1366"/>
    <w:rsid w:val="00CC287D"/>
    <w:rsid w:val="00D20379"/>
    <w:rsid w:val="00DD4F5A"/>
    <w:rsid w:val="00DD52EA"/>
    <w:rsid w:val="00E06856"/>
    <w:rsid w:val="00E530D1"/>
    <w:rsid w:val="00E853E8"/>
    <w:rsid w:val="00EC0DAC"/>
    <w:rsid w:val="00EC4F77"/>
    <w:rsid w:val="00EF62EF"/>
    <w:rsid w:val="00F36840"/>
    <w:rsid w:val="00F41CB1"/>
    <w:rsid w:val="00F76413"/>
    <w:rsid w:val="00FA4233"/>
    <w:rsid w:val="00FA4765"/>
    <w:rsid w:val="00FE037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6429"/>
    <w:pPr>
      <w:spacing w:after="200" w:line="276" w:lineRule="auto"/>
    </w:pPr>
    <w:rPr>
      <w:rFonts w:cs="Arial"/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50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35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5E350E"/>
    <w:pPr>
      <w:ind w:left="720"/>
      <w:contextualSpacing/>
    </w:pPr>
    <w:rPr>
      <w:rFonts w:cs="Times New Roman"/>
      <w:lang w:val="de-AT"/>
    </w:rPr>
  </w:style>
  <w:style w:type="paragraph" w:styleId="TOCHeading">
    <w:name w:val="TOC Heading"/>
    <w:basedOn w:val="Heading1"/>
    <w:next w:val="Normal"/>
    <w:uiPriority w:val="39"/>
    <w:qFormat/>
    <w:rsid w:val="005E350E"/>
    <w:pPr>
      <w:outlineLvl w:val="9"/>
    </w:pPr>
    <w:rPr>
      <w:lang w:val="de-DE"/>
    </w:rPr>
  </w:style>
  <w:style w:type="paragraph" w:styleId="CommentText">
    <w:name w:val="annotation text"/>
    <w:basedOn w:val="Normal"/>
    <w:link w:val="CommentTextChar"/>
    <w:uiPriority w:val="99"/>
    <w:semiHidden/>
    <w:rsid w:val="00B56429"/>
    <w:pPr>
      <w:spacing w:line="240" w:lineRule="auto"/>
    </w:pPr>
    <w:rPr>
      <w:rFonts w:cs="Times New Roman"/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29"/>
    <w:rPr>
      <w:rFonts w:ascii="Calibri" w:eastAsia="Calibri" w:hAnsi="Calibri" w:cs="Times New Roman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5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29"/>
    <w:rPr>
      <w:rFonts w:ascii="Calibri" w:eastAsia="Calibri" w:hAnsi="Calibri" w:cs="Arial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B564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429"/>
    <w:rPr>
      <w:rFonts w:ascii="Calibri" w:eastAsia="Calibri" w:hAnsi="Calibri" w:cs="Arial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B56429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semiHidden/>
    <w:rsid w:val="00CC1366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C1366"/>
    <w:pPr>
      <w:spacing w:line="276" w:lineRule="auto"/>
    </w:pPr>
    <w:rPr>
      <w:rFonts w:cs="Arial"/>
      <w:b/>
      <w:bCs/>
      <w:lang w:val="fr-FR"/>
    </w:rPr>
  </w:style>
  <w:style w:type="paragraph" w:styleId="BalloonText">
    <w:name w:val="Balloon Text"/>
    <w:basedOn w:val="Normal"/>
    <w:semiHidden/>
    <w:rsid w:val="00CC13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4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420"/>
    <w:rPr>
      <w:rFonts w:cs="Arial"/>
      <w:sz w:val="22"/>
      <w:szCs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6429"/>
    <w:pPr>
      <w:spacing w:after="200" w:line="276" w:lineRule="auto"/>
    </w:pPr>
    <w:rPr>
      <w:rFonts w:cs="Arial"/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50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35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5E350E"/>
    <w:pPr>
      <w:ind w:left="720"/>
      <w:contextualSpacing/>
    </w:pPr>
    <w:rPr>
      <w:rFonts w:cs="Times New Roman"/>
      <w:lang w:val="de-AT"/>
    </w:rPr>
  </w:style>
  <w:style w:type="paragraph" w:styleId="TOCHeading">
    <w:name w:val="TOC Heading"/>
    <w:basedOn w:val="Heading1"/>
    <w:next w:val="Normal"/>
    <w:uiPriority w:val="39"/>
    <w:qFormat/>
    <w:rsid w:val="005E350E"/>
    <w:pPr>
      <w:outlineLvl w:val="9"/>
    </w:pPr>
    <w:rPr>
      <w:lang w:val="de-DE"/>
    </w:rPr>
  </w:style>
  <w:style w:type="paragraph" w:styleId="CommentText">
    <w:name w:val="annotation text"/>
    <w:basedOn w:val="Normal"/>
    <w:link w:val="CommentTextChar"/>
    <w:uiPriority w:val="99"/>
    <w:semiHidden/>
    <w:rsid w:val="00B56429"/>
    <w:pPr>
      <w:spacing w:line="240" w:lineRule="auto"/>
    </w:pPr>
    <w:rPr>
      <w:rFonts w:cs="Times New Roman"/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29"/>
    <w:rPr>
      <w:rFonts w:ascii="Calibri" w:eastAsia="Calibri" w:hAnsi="Calibri" w:cs="Times New Roman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5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29"/>
    <w:rPr>
      <w:rFonts w:ascii="Calibri" w:eastAsia="Calibri" w:hAnsi="Calibri" w:cs="Arial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B564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429"/>
    <w:rPr>
      <w:rFonts w:ascii="Calibri" w:eastAsia="Calibri" w:hAnsi="Calibri" w:cs="Arial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B56429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semiHidden/>
    <w:rsid w:val="00CC1366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C1366"/>
    <w:pPr>
      <w:spacing w:line="276" w:lineRule="auto"/>
    </w:pPr>
    <w:rPr>
      <w:rFonts w:cs="Arial"/>
      <w:b/>
      <w:bCs/>
      <w:lang w:val="fr-FR"/>
    </w:rPr>
  </w:style>
  <w:style w:type="paragraph" w:styleId="BalloonText">
    <w:name w:val="Balloon Text"/>
    <w:basedOn w:val="Normal"/>
    <w:semiHidden/>
    <w:rsid w:val="00CC13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4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420"/>
    <w:rPr>
      <w:rFonts w:cs="Arial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Sandra E</dc:creator>
  <cp:lastModifiedBy>Kajsa Berg</cp:lastModifiedBy>
  <cp:revision>2</cp:revision>
  <cp:lastPrinted>2012-12-05T13:31:00Z</cp:lastPrinted>
  <dcterms:created xsi:type="dcterms:W3CDTF">2013-09-09T16:00:00Z</dcterms:created>
  <dcterms:modified xsi:type="dcterms:W3CDTF">2013-09-09T16:00:00Z</dcterms:modified>
</cp:coreProperties>
</file>