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7596">
      <w:pPr>
        <w:rPr>
          <w:rFonts w:ascii="Helvetica" w:hAnsi="Helvetica" w:cs="Helvetica"/>
          <w:color w:val="auto"/>
        </w:rPr>
      </w:pPr>
      <w:bookmarkStart w:id="0" w:name="_GoBack"/>
      <w:r>
        <w:rPr>
          <w:rFonts w:ascii="Helvetica" w:hAnsi="Helvetica" w:cs="Helvetica"/>
          <w:b/>
          <w:bCs/>
          <w:color w:val="auto"/>
        </w:rPr>
        <w:t>IV SA/Gl 663/16 - Wyrok</w:t>
      </w:r>
    </w:p>
    <w:bookmarkEnd w:id="0"/>
    <w:p w:rsidR="00000000" w:rsidRDefault="00CC7596">
      <w:pPr>
        <w:rPr>
          <w:rFonts w:ascii="Helvetica" w:hAnsi="Helvetica" w:cs="Helvetica"/>
          <w:color w:val="auto"/>
        </w:rPr>
      </w:pPr>
    </w:p>
    <w:tbl>
      <w:tblPr>
        <w:tblW w:w="934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869"/>
        <w:gridCol w:w="74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12" w:space="0" w:color="00000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Data orzeczenia</w:t>
            </w:r>
          </w:p>
        </w:tc>
        <w:tc>
          <w:tcPr>
            <w:tcW w:w="7477" w:type="dxa"/>
            <w:tcBorders>
              <w:top w:val="single" w:sz="12" w:space="0" w:color="00000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2016-12-07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Data wp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ywu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2016-08-02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Wojew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ó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dzki S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 Administracyjny w Gliwicach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dziowie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Beata Kalaga-Gajewska /sprawozdawca/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Bo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ż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ena Miliczek-Ciszewska /przewodnicz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cy/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Edyta 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Ż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arkiewicz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Symbol z opisem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6329 Inne o symbolu podstawowym 632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Has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a tematyczne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Zabezpieczenie spo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eczne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Cudzoziemcy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Skar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ż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ony organ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Samorz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dowe Kolegium Odwo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awcze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Tre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ść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 xml:space="preserve"> wyniku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Uchylono decyzj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I i II instancji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Powo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ane przepisy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 2016 nr 0 poz 195;  art. 1 ust. 2 pkt 2 lit. a-d,  art. 4,  art. 10,  art. 18; Ustawa z dnia 11 lutego 2016 r. o pomocy pa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ń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stwa w wychowywaniu dzieci.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 2013 nr 0 poz 1650;  art. 240,  art. 243 ust. 1 pkt 4,  art. 244 ust. 1 pkt 11; Ustawa z dnia 12 grudnia 2013 r. o cudzoziemcach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 2016 nr 0 poz 718;  art. 145 par. 1 pkt 1 lit. a; Ustawa z dnia 30 sierpnia 2002 r. - P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rawo o post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dami administracyjnymi - tekst jednolity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 2016 nr 0 poz 645;  art. 87 ust. 1 pkt 4a; Ustawa z dnia 20 kwietnia 2004 r. o promocji zatrudnienia i instytucjach rynku pracy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46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Sentencja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w Gliwicach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adzie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cym: Przewodnicz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dzia WSA Bo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ena Miliczek - Ciszewska,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dziowie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dzia WSA Beata Kalaga - Gajewska (spr.),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dzia WSA Edyta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arkiewicz, Protokolant Monika 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po rozpoznaniu na rozprawie w dniu 7 grudnia 2016 r. sprawy ze skargi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D. T.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Samorz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dowego Kolegium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awczego w K. z dnia [...] r. nr [...] w przedmiocie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wychowawczych uchyla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oraz poprzedzaj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Prezydenta Miasta K. z dnia [...] roku nr [...].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46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Uzasadnienie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dniu 1 kwietnia 2016 r. obywatelka W. N.D. (dalej w skr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cie" "skar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ca")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 siedzibie Terenowego Punktu Pomocy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ecznej Miejskiego 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Pomocy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ecznej w K. wniosek o ustalenie prawa do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wychowawczego na 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rki: A. D. (obywatelstw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polskie, ur. [...]r.) i L.W. (obywatelstwo [...], ur. [...]r.), oraz syna L. A. (obywatelstwo [...], ur. [...]r.).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dnia [...]r., nr [...], Kierownik 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u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Rodzinnych i Alimentacyjnych Miejskiego 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Pomocy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ecznej, 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 upowa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nienia Prezydenta Miasta K., odm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cej przyznania wnioskowanego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wychowawczego na dzieci. Podstaw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stanowi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art. 2 pkt 11, art. 4, art. 5, art. 10 i art. 18 ustawy z dnia 11 lutego 2016 r. o pomocy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w wycho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wywaniu dzieci (Dz. U. z 2016 r., poz. 195, zwanej dalej: "u.p.p.w.d."), oraz rozporz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dzenie Ministra Rodziny Pracy i Polityki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ecznej z dnia 18 lutego 2016 r. w sprawie sposobu i trybu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powania w sprawach 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wychowawcze (Dz. U. z 2016 r.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poz. 214)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art. 104 ustawy z dnia 14 czerwca 1960 r. Kodeks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administracyjnego (t.j. Dz. U. z 2016 r. poz. 23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zm., dalej: "k.p.a."). W jego uzasadnieniu wskaza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nie spe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 wymog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formalno-prawnych do przyznani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 wnioskowanego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wiadczenia, bowiem jest obywatelk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W. a nie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 Unii Europejskiej, jak 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Polska nie podpisa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z W. umowy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dzynarodowej w zakresie zabezpieczenia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ecznego i udzielono jej zgody na pobyt na terytorium Rzeczypospolit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ej Polskiej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humanitarnych, tak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nie posiada statusu uchod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lub ochrony uzupe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cej, a przedstawiona przez 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karta pobytu nie posiada adnotacji "dost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 do rynku pracy".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Od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szej decyzji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prosz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o jej zmian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wszystkie dzieci urodzi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 Polsce i samotnie je wychowuje. Dodatkowo, jej 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rka A. ma obywatelstwo polskie, a pozosta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dzieci posiadaj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pobytu czasowego w Polsce.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Samorz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 Kolegium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 w K.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dnia [...]r., nr [..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.], utrzyma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w mocy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organu I instancji z dnia [...]r. W uzasadnieniu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ustawodawca w art. 1 ust. 2 u.p.p.w.d. wyczerpuj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co przedstawi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katalog 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rym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przyznane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wiadczenie wychowawcze i nie wskaza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nim cudzoziemca posi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zgod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pobyt na terytorium Rzeczpospolitej Polskiej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humanitarnych. Wobec tego zasadnie odm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wiono ustalenia prawa do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wychowawczego na dzieci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cej, wobec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rej nie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zastosowania przepisy o koordynacji system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bezpieczenia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ecznego, bo nie jest obywatelem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 Unii Europejskiej. Nadto, Rzeczypospolita Polska nie posiada podpisanej z W. umowy dwustronnej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dzynarodowej, 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 posiada karty pobytu z adnotacj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"dost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 do rynku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pracy".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w Gliwicach, wnosz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o jej uchylenie i domagaj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ochrony przys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jej praw jako matki samotnie wychowuj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tr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jk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dzieci i posiadaj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kart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pobytu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Polsce. Jej zdaniem, skoro w Polsce przebywa i pracuje, to spe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wymogi ustawowe do przyznania jej wnioskowanej pomocy i nie powinna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dyskryminowana z uwagi na narodowo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odpowiedzi na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Samorz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 Kolegium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 w K. wnios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o jej 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ddalenie, podtrzymuj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stanowisko zawarte w uzasadnieniu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onej decyzji.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w Gliwicach zwa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co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puje: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Skarga zas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uguje na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dnienie.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Zgodnie z art. 1 ustawy z dnia 25 lipca 2002r. Prawo o ustroju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admini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stracyjnych (t.j. Dz. U. z 2016 r. poz. 1066)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dy administracyjne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ciwe do badania zgodno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 prawem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onych akt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administracyjnych, przy czym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nie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opiera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tej kontroli na kryterium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uszno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lub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ecznej. Decyzja 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dministracyjna jest zgodna z prawem, 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eli jest zgodna z powszechnie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cymi przepisami prawa materialnego i przepisami prawa procesowego. Uchylenie decyzji administracyjnej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dnie stwierdzenie jej niewa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puje tylko w przypadku stwierd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zenia istotnych wad 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lub naruszenia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prawa materialnego,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 na wynik sprawy, co wynika z tre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art. 145 ustawy z dnia 30 sierpnia 2002 r. Prawo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dami administracyjnymi ( t.j. Dz. U. z 2016 r., poz.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718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zm., zwanej dalej: "p.p.s.a."). Jednocze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 zakres tej kontroli wyznacza art. 134 p.p.s.a. stanowi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cy, 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orzeka w granicach danej sprawy, nie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jednak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zany zarzutami i wnioskami skargi oraz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podstaw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(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1).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rozpo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znawanej sprawie, Samorz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 Kolegium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awczego w K.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utrzyma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w mocy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organu I instancji z dnia [...]r., odmawiaj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przyznania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cej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wychowawczego na tr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jk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dzieci.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Materialnoprawn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podstaw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onej decyzji stanowi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przepisy przywo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anej ju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niej ustawy z dnia 11 lutego 2006 r. o pomocy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w wychowywaniu dzieci (Dz. U. poz. 195, zwanej dalej, tak jak dotychczas w skr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cie: "u.p.p.w.d.") oraz przepisy ustawy z dnia 12 grudnia 2013 r. o cu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dzoziemcach (Dz. U. z 2013 r. poz. 1650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zm.).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niniejszej sprawie organy obu instancji ustali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y,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jako obywatelce W. nie przys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wnioskowane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wiadczenia, bowiem nie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niej zastosowania przepisy 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koordynacji system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zabezpi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eczenia spo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ecznego, albowiem nie jest obywatelem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onkowskiego, natomiast Rzeczypospolita Polska nie zawar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 tym zakresie dwustronnej umowy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dzynarodowej z W., jak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 ma zezwolenia na pobyt czasowy, udzielonego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okoliczno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ciami, o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rych mowa w art. 127 ustawy o cudzoziemcach, oraz nie dysponuje kart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pobytu z adnotacj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"dost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 do rynku pracy" (por. art. 1 ust. 2 pkt 2 lit. a-d u.p.p.w.d.).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Tymczasem,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posiada zgod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pobyt na terytorium Rzeczypospolitej Polskiej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humanitarnych,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wydaje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podstawie art. 240 pkt 4 ustawy o cudzoziemcach i dysponuje kart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pobytu 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przez okres dw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ch lat, tj. do dnia 12 grudnia 2016 r. (por. art. 243 ust. 1 pkt 4 i ust. 2 pkt 3 ustawy o cudzoziemcach).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 lite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ralnego brzmienia art. 1 ust. 2 pkt 2 lit. d) u.p.p.w.d. wynika,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ustawodawca przewidzia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przyznania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wychowawczego pod warunkiem posiadania przez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karty pobytu z adnotacj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"dost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 do rynku pracy", 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eli zamieszkuj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onkami rodzin na terytorium Rzeczypospolitej Polskiej, z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czeniem obywateli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trzecich,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rzy uzyskali zezwolenie na prac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terytorium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 na okres nieprzekraczaj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sze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ciu miesi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cy, obywateli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trzecich przyj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tych w ce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lu podj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studi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oraz obywateli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trzecich,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rzy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prawo do wykonywania pracy na podstawie wizy.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Bezspornie jednak kart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pobytu wydaje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cudzoziemcowi,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remu udzielono zgody na pobyt na terytorium Rzeczypospolitej Polskiej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anitarnych, co wynika z art. 243 ust. 1 pkt 4 ustawy o cudzoziemcach, jak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tej karcie, zgodnie z art. 244 ust. 1 pkt 11 tej samej ustawy, umieszcza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adnotacj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"dost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 do rynku pracy" w przypadku zezwolenia udzielonego cudzoziemcowi,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ry jest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uprawniony do wykonywania pracy na terytorium Rzeczypospolitej Polskiej lub jest zwolniony z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posiadania zezwolenia na prac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 zestawienia tych dw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ch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 wynika zatem,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prawo do uzyskania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wychowawczego przez cudzoziemca legit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ymuj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pobytu uzale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nione jest od posiadania przez niego uprawnienia do wykonywania pracy na terytorium Rzeczypospolitej Polskiej lub z mocy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zwalniaj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cudzoziemca z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posiadania zezwolenia na prac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co w ka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dym z tych prz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ypadk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daje podstaw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umieszczenia adnotacji "dost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 do rynku pracy".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Cudzoziemcy posiadaj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zgod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pobyt na terytorium Rzeczypospolitej Polskiej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humanitarnych, zgodnie z art. 87 ust. 1 pkt 4a ustawy z dnia 20 kwietnia 2004 r. o promocji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zatrudnienia i instytucjach rynku pracy (t.j. z 2016 r. Dz. U. poz. 645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zm.),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mocy tego przepisu uprawnieni do wykonywania pracy na terytorium Rzeczypospolitej Polskiej.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Przywo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any przepis szczeg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lny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zuje od dnia 1 maja 2014 r. i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dodany przez art. 488 pkt 7 lit. a) tiret drugi ustawy z dnia 12 grudnia 2013 r. ustawy o cudzoziemcach, zmieniaj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ustaw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promocji zatrudnienia i instytucjach rynku pracy (Dz. U. z 2013 r. poz. 1650).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ocenie 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adu orzekaj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rozpatruj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niniejsz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spraw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jedynie 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zykowa (literalna) wyk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adnia przywo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anego ju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niej art. 1 ust. 2 pkt 2 lit. d) u.p.p.w.d. jest niewystarczaj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i prowadzi do oczywistego zr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nicowania sytuacji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(posiadaj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zgod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pobyt na terytorium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Rzeczypospolitej Polskiej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humanitarnych) i do wykluczenia tych 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 z kr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gu uprawnionych do uzyskania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wychowawczego, poprzez brak adnotacji "dost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p do rynku pracy", podczas gdy z art. 87 ust. 1 pkt 4a ustawy o promocji zatrudnienia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 instytucjach rynku pracy, posiadaj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oni taki 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Oznacza to,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cudzoziemiec posiadaj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po dniu 1 maja 2014 r. zgod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pobyt na terytorium Rzeczpospolitej Polskiej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humanitarnych jest uprawniony do wykonywania pracy na terytorium Rzeczy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pospolitej Polskiej, przez co spe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nia warunek konieczny do uzyskania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wychowawczego, wynikaj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z art. 1 ust. 2 pkt 2 lit. d) u.p.p.w.d.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art. 244 ust. 1 pkt 11 ustawy o cudzoziemcach i art. 87 ust. 1 pkt 4a ustawy o promocji zatrudni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i instytucjach rynku pracy.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art. 4 ust. 1 u.p.p.w.d. wskazuje,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jego celem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udzielenie przez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stwo rodzicom (opiekunom) pomocy w wychowaniu dzieci w formie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ciowego pokrycia wydatk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zanych z ich wychowywaniem, w tym z opiek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nimi i zaspokojeniem ich potrzeb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yciowych (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wiadczenie wychowawcze). Co do zasady przepis ten nie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cza dzieci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w tym posiadaj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zgod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pobyt na terytorium Rzeczypospolitej Polskiej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humanitarnych,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prawo do 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ego 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czasowego pobytu oraz uprawnienie do pracy w Polsce.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Z analizy akt sprawy wynika,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legitymuje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pobytu (k. 6 akt administracyjnych). Na tej karcie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ciwy organ nie umie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jednak adnotacji "dost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p do rynku pracy" mimo,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zgodnie z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omawianymi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ej przepisami,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ma faktycznie 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 do rynku pracy w Polsce na zasadach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lnie 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pnych dla wszystkich obywateli polskich. W tym zakresie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przed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organowi I instancji umow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prac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dnia 27 grudnia 2013 r., obejmuj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okres zatrudnienia od dnia 27 grudnia 2013 r. do 26 grudnia 2014 r. oraz umow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prac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dnia 1 grudnia 2015 r., obejmuj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okres zatrudnienia od 1 stycznia 2015 r. do 30 listopada 2016 r. (k. 16-18). Dlatego 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przyzna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cej,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odmie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nna wyk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adania omawianego przepisu mog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aby prowadzi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nieuprawnionego zr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nicowania sytuacji prawnej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na tych,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rym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ciwy organ wyda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pobytu z adnotacj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 tych,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rzy otrzymali karty pobytu bez adnotacji, jak i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ich dzieci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na ich pochodzenie i narodowo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 Takie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w oczywisty spos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 prowadzi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oby do naruszenia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Konstytucji RP (art. 2, art. 32, art. 71 ust. 1, a przede wszystkim art. 72 ust. 1 zdanie pierwsze), jak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art. 2 ust. 1 oraz art.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26 ust. 1 Konwencji o prawach dziecka z dnia 20 listopada 1989 r. (Dz. U. z 1991 r. nr 120, poz. 526).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Zaprezentowana wyk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adnia celowo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ciowa prowadzi do wniosku,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art. 1 ust. 2 pkt 2 lit. d) u.p.p.w.d. przyznaje uprawnienie do uzyskania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wiadczenia wyc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howawczego cudzoziemcowi legitymuj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cemu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pobytu, posiadaj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cemu zgod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pobyt na terytorium Rzeczypospolitej Polskiej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humanitarnych, uprawnionemu do wykonywania pracy na terytorium Rzeczypospolitej Polskiej, na podstawie art. 87 ust. 1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pkt 4a ustawy o promocji zatrudnienia i instytucjach rynku pracy niezale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 od tego, czy uprawnienie to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ujawnione przez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ciwy organ na karcie pobytu, czy 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nie. Zbli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 stanowisko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zaprezentowane w nieprawomocnych wyrokach 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w Warszawie z dnia 7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dziernika 2016 r. o sygn. akt I SA/Wa 1197/16 i w Olsztynie z dnia 3 listopada 2016 r. o sygn. akt II SA/Ol 995/16 (dost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pne w internetowej bazie orzecze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NSA).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Przy ponownym rozpoznaniu sprawy organ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ie mia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go ocen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zawart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uzasadnieniu niniejszego wyroku (por. art. 153 p.p.s.a.).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 marginesie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dodatkowo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w tej sprawie poza ustaleniem,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jako obywatelka W. posiada zgod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pobyt na terytorium Rzeczypospolitej Polskiej ze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humanitarnych, brak jest jakichkolwiek innych ustale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jej sytuacji rodzinnej i materialnej,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to ustalenia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niezb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dne do rozpoznania wniosku i orzeczenia w przedmiocie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wiadcze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 wychowawczego, zw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aszcza,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jak wskaza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we wniosku wychowuje sama tr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jk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dzieci, co oznacza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konieczno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oceny jej sytuacji dochodowej przez organ administracji.</w:t>
            </w: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CC7596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sze na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dzie,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d, na podstawie art. 145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pkt 1 lit. a)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art. 135 p.p.s.a. orzek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jak w sentencji.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CC759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00000" w:rsidRDefault="00CC7596"/>
    <w:sectPr w:rsidR="00000000">
      <w:headerReference w:type="default" r:id="rId8"/>
      <w:footerReference w:type="default" r:id="rId9"/>
      <w:pgSz w:w="11907" w:h="16840"/>
      <w:pgMar w:top="1720" w:right="112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7596">
      <w:r>
        <w:separator/>
      </w:r>
    </w:p>
  </w:endnote>
  <w:endnote w:type="continuationSeparator" w:id="0">
    <w:p w:rsidR="00000000" w:rsidRDefault="00CC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know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C7596">
    <w:pPr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>2017-10-27 11:02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7596">
      <w:r>
        <w:separator/>
      </w:r>
    </w:p>
  </w:footnote>
  <w:footnote w:type="continuationSeparator" w:id="0">
    <w:p w:rsidR="00000000" w:rsidRDefault="00CC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31"/>
      <w:gridCol w:w="171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763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</w:tcPr>
        <w:p w:rsidR="00000000" w:rsidRDefault="00CC7596">
          <w:pPr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Centralna Baza Orzecze</w:t>
          </w:r>
          <w:r>
            <w:rPr>
              <w:rFonts w:ascii="Times New Roman" w:hAnsi="Times New Roman" w:cs="Times New Roman"/>
              <w:color w:val="auto"/>
            </w:rPr>
            <w:t>ń</w:t>
          </w:r>
          <w:r>
            <w:rPr>
              <w:rFonts w:ascii="Times New Roman" w:hAnsi="Times New Roman" w:cs="Times New Roman"/>
              <w:color w:val="auto"/>
            </w:rPr>
            <w:t xml:space="preserve"> S</w:t>
          </w:r>
          <w:r>
            <w:rPr>
              <w:rFonts w:ascii="Times New Roman" w:hAnsi="Times New Roman" w:cs="Times New Roman"/>
              <w:color w:val="auto"/>
            </w:rPr>
            <w:t>ą</w:t>
          </w:r>
          <w:r>
            <w:rPr>
              <w:rFonts w:ascii="Times New Roman" w:hAnsi="Times New Roman" w:cs="Times New Roman"/>
              <w:color w:val="auto"/>
            </w:rPr>
            <w:t>d</w:t>
          </w:r>
          <w:r>
            <w:rPr>
              <w:rFonts w:ascii="Times New Roman" w:hAnsi="Times New Roman" w:cs="Times New Roman"/>
              <w:color w:val="auto"/>
            </w:rPr>
            <w:t>ó</w:t>
          </w:r>
          <w:r>
            <w:rPr>
              <w:rFonts w:ascii="Times New Roman" w:hAnsi="Times New Roman" w:cs="Times New Roman"/>
              <w:color w:val="auto"/>
            </w:rPr>
            <w:t>w Administracyjnych</w:t>
          </w:r>
        </w:p>
      </w:tc>
      <w:tc>
        <w:tcPr>
          <w:tcW w:w="171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</w:tcPr>
        <w:p w:rsidR="00000000" w:rsidRDefault="00CC7596">
          <w:pPr>
            <w:jc w:val="right"/>
            <w:rPr>
              <w:rFonts w:ascii="unknown" w:hAnsi="unknown" w:cs="unknow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Str </w:t>
          </w:r>
          <w:r>
            <w:rPr>
              <w:rFonts w:ascii="unknown" w:hAnsi="unknown" w:cs="unknown"/>
              <w:color w:val="auto"/>
            </w:rPr>
            <w:fldChar w:fldCharType="begin"/>
          </w:r>
          <w:r>
            <w:rPr>
              <w:rFonts w:ascii="unknown" w:hAnsi="unknown" w:cs="unknown"/>
              <w:color w:val="auto"/>
            </w:rPr>
            <w:instrText>PAGE</w:instrText>
          </w:r>
          <w:r>
            <w:rPr>
              <w:rFonts w:ascii="unknown" w:hAnsi="unknown" w:cs="unknown"/>
              <w:color w:val="auto"/>
            </w:rPr>
            <w:fldChar w:fldCharType="separate"/>
          </w:r>
          <w:r>
            <w:rPr>
              <w:rFonts w:ascii="unknown" w:hAnsi="unknown" w:cs="unknown"/>
              <w:noProof/>
              <w:color w:val="auto"/>
            </w:rPr>
            <w:t>1</w:t>
          </w:r>
          <w:r>
            <w:rPr>
              <w:rFonts w:ascii="unknown" w:hAnsi="unknown" w:cs="unknown"/>
              <w:color w:val="auto"/>
            </w:rPr>
            <w:fldChar w:fldCharType="end"/>
          </w:r>
          <w:r>
            <w:rPr>
              <w:rFonts w:ascii="Times New Roman" w:hAnsi="Times New Roman" w:cs="Times New Roman"/>
              <w:color w:val="auto"/>
            </w:rPr>
            <w:t xml:space="preserve"> / </w:t>
          </w:r>
          <w:r>
            <w:rPr>
              <w:rFonts w:ascii="unknown" w:hAnsi="unknown" w:cs="unknown"/>
              <w:color w:val="auto"/>
            </w:rPr>
            <w:fldChar w:fldCharType="begin"/>
          </w:r>
          <w:r>
            <w:rPr>
              <w:rFonts w:ascii="unknown" w:hAnsi="unknown" w:cs="unknown"/>
              <w:color w:val="auto"/>
            </w:rPr>
            <w:instrText>NUMPAGES \* Arabic</w:instrText>
          </w:r>
          <w:r>
            <w:rPr>
              <w:rFonts w:ascii="unknown" w:hAnsi="unknown" w:cs="unknown"/>
              <w:color w:val="auto"/>
            </w:rPr>
            <w:fldChar w:fldCharType="separate"/>
          </w:r>
          <w:r>
            <w:rPr>
              <w:rFonts w:ascii="unknown" w:hAnsi="unknown" w:cs="unknown"/>
              <w:noProof/>
              <w:color w:val="auto"/>
            </w:rPr>
            <w:t>5</w:t>
          </w:r>
          <w:r>
            <w:rPr>
              <w:rFonts w:ascii="unknown" w:hAnsi="unknown" w:cs="unknown"/>
              <w:color w:val="auto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96"/>
    <w:rsid w:val="00C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dcterms:created xsi:type="dcterms:W3CDTF">2017-10-27T09:03:00Z</dcterms:created>
  <dcterms:modified xsi:type="dcterms:W3CDTF">2017-10-27T09:03:00Z</dcterms:modified>
</cp:coreProperties>
</file>