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27"/>
        <w:gridCol w:w="2267"/>
        <w:gridCol w:w="3122"/>
        <w:gridCol w:w="3648"/>
      </w:tblGrid>
      <w:tr w:rsidR="00996C36" w:rsidTr="00693E5F">
        <w:tc>
          <w:tcPr>
            <w:tcW w:w="2694" w:type="dxa"/>
            <w:gridSpan w:val="2"/>
            <w:tcBorders>
              <w:top w:val="single" w:sz="12" w:space="0" w:color="000000"/>
              <w:left w:val="single" w:sz="12" w:space="0" w:color="000000"/>
              <w:bottom w:val="single" w:sz="12" w:space="0" w:color="000000"/>
              <w:right w:val="single" w:sz="4" w:space="0" w:color="000000"/>
            </w:tcBorders>
            <w:hideMark/>
          </w:tcPr>
          <w:p w:rsidR="00996C36" w:rsidRDefault="00996C36">
            <w:pPr>
              <w:spacing w:after="0" w:line="240" w:lineRule="auto"/>
              <w:rPr>
                <w:rFonts w:cs="Calibri"/>
                <w:b/>
                <w:bCs/>
              </w:rPr>
            </w:pPr>
            <w:r>
              <w:rPr>
                <w:rFonts w:cs="Calibri"/>
                <w:b/>
                <w:bCs/>
              </w:rPr>
              <w:t>KEY WORDS</w:t>
            </w:r>
          </w:p>
        </w:tc>
        <w:tc>
          <w:tcPr>
            <w:tcW w:w="6770" w:type="dxa"/>
            <w:gridSpan w:val="2"/>
            <w:tcBorders>
              <w:top w:val="single" w:sz="12" w:space="0" w:color="000000"/>
              <w:left w:val="single" w:sz="4" w:space="0" w:color="000000"/>
              <w:bottom w:val="single" w:sz="12" w:space="0" w:color="000000"/>
              <w:right w:val="single" w:sz="12" w:space="0" w:color="000000"/>
            </w:tcBorders>
          </w:tcPr>
          <w:p w:rsidR="000C4A4B" w:rsidRDefault="000C4A4B" w:rsidP="000C4A4B">
            <w:pPr>
              <w:snapToGrid w:val="0"/>
              <w:spacing w:after="0" w:line="100" w:lineRule="atLeast"/>
              <w:rPr>
                <w:rFonts w:cs="Calibri"/>
                <w:b/>
              </w:rPr>
            </w:pPr>
            <w:r>
              <w:rPr>
                <w:rFonts w:cs="Calibri"/>
                <w:b/>
              </w:rPr>
              <w:t>Humanitarian clause / reasons</w:t>
            </w:r>
          </w:p>
          <w:p w:rsidR="000C4A4B" w:rsidRDefault="000C4A4B" w:rsidP="000C4A4B">
            <w:pPr>
              <w:spacing w:after="0" w:line="100" w:lineRule="atLeast"/>
              <w:rPr>
                <w:rFonts w:cs="Calibri"/>
                <w:b/>
              </w:rPr>
            </w:pPr>
            <w:r>
              <w:rPr>
                <w:rFonts w:cs="Calibri"/>
                <w:b/>
              </w:rPr>
              <w:t>Sovereignity clause</w:t>
            </w:r>
          </w:p>
          <w:p w:rsidR="000C4A4B" w:rsidRDefault="000C4A4B" w:rsidP="000C4A4B">
            <w:pPr>
              <w:spacing w:after="0" w:line="100" w:lineRule="atLeast"/>
              <w:rPr>
                <w:rFonts w:cs="Calibri"/>
                <w:b/>
              </w:rPr>
            </w:pPr>
            <w:r>
              <w:rPr>
                <w:rFonts w:cs="Calibri"/>
                <w:b/>
              </w:rPr>
              <w:t>Vulnerable persons</w:t>
            </w:r>
          </w:p>
          <w:p w:rsidR="00996C36" w:rsidRDefault="000C4A4B" w:rsidP="000C4A4B">
            <w:pPr>
              <w:spacing w:after="0" w:line="240" w:lineRule="auto"/>
              <w:rPr>
                <w:rFonts w:cs="Calibri"/>
                <w:b/>
              </w:rPr>
            </w:pPr>
            <w:r>
              <w:rPr>
                <w:rFonts w:cs="Calibri"/>
                <w:b/>
              </w:rPr>
              <w:t>Medical issues</w:t>
            </w:r>
          </w:p>
        </w:tc>
      </w:tr>
      <w:tr w:rsidR="00996C36" w:rsidTr="00693E5F">
        <w:tc>
          <w:tcPr>
            <w:tcW w:w="2694" w:type="dxa"/>
            <w:gridSpan w:val="2"/>
            <w:tcBorders>
              <w:top w:val="single" w:sz="12"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r>
              <w:rPr>
                <w:rFonts w:cs="Calibri"/>
              </w:rPr>
              <w:t>Country of Appeal</w:t>
            </w:r>
          </w:p>
        </w:tc>
        <w:tc>
          <w:tcPr>
            <w:tcW w:w="6770" w:type="dxa"/>
            <w:gridSpan w:val="2"/>
            <w:tcBorders>
              <w:top w:val="single" w:sz="12" w:space="0" w:color="000000"/>
              <w:left w:val="single" w:sz="4" w:space="0" w:color="000000"/>
              <w:bottom w:val="single" w:sz="4" w:space="0" w:color="000000"/>
              <w:right w:val="single" w:sz="4" w:space="0" w:color="000000"/>
            </w:tcBorders>
          </w:tcPr>
          <w:p w:rsidR="00996C36" w:rsidRDefault="0083197B">
            <w:pPr>
              <w:spacing w:after="0" w:line="240" w:lineRule="auto"/>
              <w:rPr>
                <w:rFonts w:cs="Calibri"/>
                <w:b/>
              </w:rPr>
            </w:pPr>
            <w:r>
              <w:rPr>
                <w:rFonts w:cs="Calibri"/>
                <w:b/>
              </w:rPr>
              <w:t>Austria</w:t>
            </w:r>
          </w:p>
        </w:tc>
      </w:tr>
      <w:tr w:rsidR="00996C36" w:rsidRPr="00996C36" w:rsidTr="00693E5F">
        <w:tc>
          <w:tcPr>
            <w:tcW w:w="2694" w:type="dxa"/>
            <w:gridSpan w:val="2"/>
            <w:tcBorders>
              <w:top w:val="single" w:sz="12"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US"/>
              </w:rPr>
            </w:pPr>
            <w:r>
              <w:rPr>
                <w:rFonts w:cs="Calibri"/>
                <w:lang w:val="en-US"/>
              </w:rPr>
              <w:t xml:space="preserve">Responsible </w:t>
            </w:r>
            <w:smartTag w:uri="urn:schemas-microsoft-com:office:smarttags" w:element="City">
              <w:r>
                <w:rPr>
                  <w:rFonts w:cs="Calibri"/>
                  <w:lang w:val="en-US"/>
                </w:rPr>
                <w:t>Member</w:t>
              </w:r>
            </w:smartTag>
            <w:r>
              <w:rPr>
                <w:rFonts w:cs="Calibri"/>
                <w:lang w:val="en-US"/>
              </w:rPr>
              <w:t xml:space="preserve"> </w:t>
            </w:r>
            <w:smartTag w:uri="urn:schemas-microsoft-com:office:smarttags" w:element="City">
              <w:r>
                <w:rPr>
                  <w:rFonts w:cs="Calibri"/>
                  <w:lang w:val="en-US"/>
                </w:rPr>
                <w:t>State</w:t>
              </w:r>
            </w:smartTag>
            <w:r>
              <w:rPr>
                <w:rFonts w:cs="Calibri"/>
                <w:lang w:val="en-US"/>
              </w:rPr>
              <w:t xml:space="preserve"> under </w:t>
            </w:r>
            <w:smartTag w:uri="urn:schemas-microsoft-com:office:smarttags" w:element="City">
              <w:r>
                <w:rPr>
                  <w:rFonts w:cs="Calibri"/>
                  <w:lang w:val="en-US"/>
                </w:rPr>
                <w:t>Dublin</w:t>
              </w:r>
            </w:smartTag>
            <w:r>
              <w:rPr>
                <w:rFonts w:cs="Calibri"/>
                <w:lang w:val="en-US"/>
              </w:rPr>
              <w:t xml:space="preserve"> Criteria</w:t>
            </w:r>
          </w:p>
        </w:tc>
        <w:tc>
          <w:tcPr>
            <w:tcW w:w="6770" w:type="dxa"/>
            <w:gridSpan w:val="2"/>
            <w:tcBorders>
              <w:top w:val="single" w:sz="12" w:space="0" w:color="000000"/>
              <w:left w:val="single" w:sz="4" w:space="0" w:color="000000"/>
              <w:bottom w:val="single" w:sz="4" w:space="0" w:color="000000"/>
              <w:right w:val="single" w:sz="4" w:space="0" w:color="000000"/>
            </w:tcBorders>
          </w:tcPr>
          <w:p w:rsidR="00996C36" w:rsidRDefault="000C4A4B">
            <w:pPr>
              <w:spacing w:after="0" w:line="240" w:lineRule="auto"/>
              <w:rPr>
                <w:rFonts w:cs="Calibri"/>
                <w:b/>
                <w:lang w:val="en-US"/>
              </w:rPr>
            </w:pPr>
            <w:r>
              <w:rPr>
                <w:rFonts w:cs="Calibri"/>
                <w:b/>
                <w:lang w:val="en-US"/>
              </w:rPr>
              <w:t>Poland</w:t>
            </w:r>
          </w:p>
        </w:tc>
      </w:tr>
      <w:tr w:rsidR="00996C36" w:rsidTr="00693E5F">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r>
              <w:rPr>
                <w:rFonts w:cs="Calibri"/>
              </w:rPr>
              <w:t>Case name</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
                <w:lang w:val="nl-NL"/>
              </w:rPr>
            </w:pPr>
          </w:p>
        </w:tc>
      </w:tr>
      <w:tr w:rsidR="00996C36" w:rsidRPr="00996C36" w:rsidTr="00693E5F">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GB"/>
              </w:rPr>
            </w:pPr>
            <w:r>
              <w:rPr>
                <w:rFonts w:cs="Calibri"/>
                <w:lang w:val="en-GB"/>
              </w:rPr>
              <w:t>Appeal body name i.e. Court/Tribunal/Appeals Board</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0C4A4B">
            <w:pPr>
              <w:spacing w:after="0" w:line="240" w:lineRule="auto"/>
              <w:rPr>
                <w:rFonts w:cs="Calibri"/>
                <w:b/>
                <w:lang w:val="nl-NL"/>
              </w:rPr>
            </w:pPr>
            <w:r>
              <w:rPr>
                <w:rFonts w:cs="Calibri"/>
                <w:b/>
                <w:lang w:val="nl-NL"/>
              </w:rPr>
              <w:t>Asylum Court</w:t>
            </w:r>
          </w:p>
        </w:tc>
      </w:tr>
      <w:tr w:rsidR="00996C36" w:rsidTr="00693E5F">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GB"/>
              </w:rPr>
            </w:pPr>
            <w:r>
              <w:rPr>
                <w:rFonts w:cs="Calibri"/>
                <w:lang w:val="en-GB"/>
              </w:rPr>
              <w:t>Decision number/Neutral citation</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0C4A4B" w:rsidP="00693E5F">
            <w:pPr>
              <w:spacing w:after="0" w:line="240" w:lineRule="auto"/>
              <w:rPr>
                <w:rFonts w:cs="Calibri"/>
                <w:b/>
                <w:lang w:val="en-GB"/>
              </w:rPr>
            </w:pPr>
            <w:r>
              <w:rPr>
                <w:rFonts w:cs="Calibri"/>
                <w:b/>
                <w:lang w:val="en-GB"/>
              </w:rPr>
              <w:t>S1 410.743-1/2009/6E</w:t>
            </w:r>
            <w:r w:rsidR="00A43DFF">
              <w:rPr>
                <w:rFonts w:cs="Calibri"/>
                <w:b/>
                <w:lang w:val="en-GB"/>
              </w:rPr>
              <w:br/>
            </w:r>
            <w:r w:rsidR="00A43DFF" w:rsidRPr="00A43DFF">
              <w:rPr>
                <w:rFonts w:cs="Calibri"/>
                <w:lang w:val="en-US"/>
              </w:rPr>
              <w:t>http://www.ris.bka.gv.at/Dokument.wxe?Abfrage=AsylGH&amp;Dokumentnummer=ASYLGHT_20100128_S1_410_743_1_2009_00</w:t>
            </w:r>
          </w:p>
        </w:tc>
      </w:tr>
      <w:tr w:rsidR="00996C36" w:rsidRPr="00996C36" w:rsidTr="00693E5F">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US"/>
              </w:rPr>
            </w:pPr>
            <w:r>
              <w:rPr>
                <w:rFonts w:cs="Calibri"/>
                <w:lang w:val="en-US"/>
              </w:rPr>
              <w:t>Date decision delivered or promulgated: Date of determination</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0C4A4B">
            <w:pPr>
              <w:spacing w:after="0" w:line="240" w:lineRule="auto"/>
              <w:rPr>
                <w:rFonts w:cs="Calibri"/>
                <w:b/>
                <w:lang w:val="en-US"/>
              </w:rPr>
            </w:pPr>
            <w:r>
              <w:rPr>
                <w:rFonts w:cs="Calibri"/>
                <w:b/>
                <w:lang w:val="en-US"/>
              </w:rPr>
              <w:t>28.01.2010</w:t>
            </w:r>
          </w:p>
        </w:tc>
      </w:tr>
      <w:tr w:rsidR="00996C36" w:rsidTr="00693E5F">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r>
              <w:rPr>
                <w:rFonts w:cs="Calibri"/>
              </w:rPr>
              <w:t>Country of applicant/Claimant</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0C4A4B">
            <w:pPr>
              <w:spacing w:after="0" w:line="240" w:lineRule="auto"/>
              <w:rPr>
                <w:rFonts w:cs="Calibri"/>
                <w:bCs/>
              </w:rPr>
            </w:pPr>
            <w:r>
              <w:rPr>
                <w:rFonts w:cs="Calibri"/>
                <w:bCs/>
              </w:rPr>
              <w:t>Russian Federation (Chechnya)</w:t>
            </w:r>
          </w:p>
        </w:tc>
      </w:tr>
      <w:tr w:rsidR="00996C36" w:rsidTr="00693E5F">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r>
              <w:rPr>
                <w:rFonts w:cs="Calibri"/>
              </w:rPr>
              <w:t>Summary of the case</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Cs/>
                <w:lang w:val="nl-NL"/>
              </w:rPr>
            </w:pPr>
          </w:p>
        </w:tc>
      </w:tr>
      <w:tr w:rsidR="00996C36" w:rsidTr="00693E5F">
        <w:trPr>
          <w:trHeight w:val="385"/>
        </w:trPr>
        <w:tc>
          <w:tcPr>
            <w:tcW w:w="427" w:type="dxa"/>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rPr>
            </w:pPr>
          </w:p>
        </w:tc>
        <w:tc>
          <w:tcPr>
            <w:tcW w:w="2267" w:type="dxa"/>
            <w:tcBorders>
              <w:top w:val="single" w:sz="4" w:space="0" w:color="auto"/>
              <w:left w:val="single" w:sz="4" w:space="0" w:color="000000"/>
              <w:bottom w:val="single" w:sz="4" w:space="0" w:color="auto"/>
              <w:right w:val="single" w:sz="4" w:space="0" w:color="000000"/>
            </w:tcBorders>
            <w:hideMark/>
          </w:tcPr>
          <w:p w:rsidR="00996C36" w:rsidRDefault="00996C36">
            <w:pPr>
              <w:spacing w:after="0" w:line="240" w:lineRule="auto"/>
              <w:rPr>
                <w:rFonts w:cs="Calibri"/>
                <w:i/>
              </w:rPr>
            </w:pPr>
            <w:r>
              <w:rPr>
                <w:rFonts w:cs="Calibri"/>
                <w:i/>
              </w:rPr>
              <w:t>Facts (brief overview)</w:t>
            </w:r>
          </w:p>
        </w:tc>
        <w:tc>
          <w:tcPr>
            <w:tcW w:w="6770" w:type="dxa"/>
            <w:gridSpan w:val="2"/>
            <w:tcBorders>
              <w:top w:val="single" w:sz="4" w:space="0" w:color="auto"/>
              <w:left w:val="single" w:sz="4" w:space="0" w:color="000000"/>
              <w:bottom w:val="single" w:sz="4" w:space="0" w:color="auto"/>
              <w:right w:val="single" w:sz="4" w:space="0" w:color="000000"/>
            </w:tcBorders>
          </w:tcPr>
          <w:p w:rsidR="000C4A4B" w:rsidRPr="00576EA6" w:rsidRDefault="000C4A4B" w:rsidP="000C4A4B">
            <w:pPr>
              <w:snapToGrid w:val="0"/>
              <w:spacing w:after="0" w:line="100" w:lineRule="atLeast"/>
              <w:jc w:val="both"/>
              <w:rPr>
                <w:rFonts w:cs="Calibri"/>
                <w:b/>
                <w:lang w:val="nl-NL"/>
              </w:rPr>
            </w:pPr>
            <w:r w:rsidRPr="00576EA6">
              <w:rPr>
                <w:rFonts w:cs="Calibri"/>
                <w:b/>
                <w:lang w:val="nl-NL"/>
              </w:rPr>
              <w:t xml:space="preserve">The applicant is an elderly Chechen woman who suffers from dementia in its early stages. None of her children remained in Chechnya and one of her daughters has been living in Austria as a refugee for a couple of years </w:t>
            </w:r>
            <w:r w:rsidRPr="00576EA6">
              <w:rPr>
                <w:rFonts w:cs="Calibri"/>
                <w:b/>
                <w:lang w:val="en-US"/>
              </w:rPr>
              <w:t>now</w:t>
            </w:r>
            <w:r w:rsidRPr="00576EA6">
              <w:rPr>
                <w:rFonts w:cs="Calibri"/>
                <w:b/>
                <w:lang w:val="nl-NL"/>
              </w:rPr>
              <w:t xml:space="preserve">. On her way to Austria she passed </w:t>
            </w:r>
            <w:r w:rsidRPr="00576EA6">
              <w:rPr>
                <w:rFonts w:cs="Calibri"/>
                <w:b/>
                <w:lang w:val="en-US"/>
              </w:rPr>
              <w:t xml:space="preserve">through </w:t>
            </w:r>
            <w:r w:rsidRPr="00576EA6">
              <w:rPr>
                <w:rFonts w:cs="Calibri"/>
                <w:b/>
                <w:lang w:val="nl-NL"/>
              </w:rPr>
              <w:t xml:space="preserve">Poland where she applied for asylum (without being aware of </w:t>
            </w:r>
            <w:r w:rsidRPr="00576EA6">
              <w:rPr>
                <w:rFonts w:cs="Calibri"/>
                <w:b/>
                <w:lang w:val="en-US"/>
              </w:rPr>
              <w:t>it</w:t>
            </w:r>
            <w:r w:rsidRPr="00576EA6">
              <w:rPr>
                <w:rFonts w:cs="Calibri"/>
                <w:b/>
                <w:lang w:val="nl-NL"/>
              </w:rPr>
              <w:t>). In Austria, she moved in with her daughter as soon as possible, who also took care of her medical treatment.</w:t>
            </w:r>
          </w:p>
          <w:p w:rsidR="000C4A4B" w:rsidRPr="00576EA6" w:rsidRDefault="000C4A4B" w:rsidP="000C4A4B">
            <w:pPr>
              <w:spacing w:after="0" w:line="100" w:lineRule="atLeast"/>
              <w:jc w:val="both"/>
              <w:rPr>
                <w:rFonts w:cs="Calibri"/>
                <w:b/>
                <w:lang w:val="nl-NL"/>
              </w:rPr>
            </w:pPr>
            <w:r w:rsidRPr="00576EA6">
              <w:rPr>
                <w:rFonts w:cs="Calibri"/>
                <w:b/>
                <w:lang w:val="nl-NL"/>
              </w:rPr>
              <w:t>The Federal Asylum Office issued an expulsion order to Poland, pointing out that she could get medical treatment in Poland too. There was no sign of dependence on her</w:t>
            </w:r>
            <w:r>
              <w:rPr>
                <w:rFonts w:cs="Calibri"/>
                <w:b/>
                <w:lang w:val="nl-NL"/>
              </w:rPr>
              <w:t xml:space="preserve"> </w:t>
            </w:r>
            <w:r w:rsidRPr="00576EA6">
              <w:rPr>
                <w:rFonts w:cs="Calibri"/>
                <w:b/>
                <w:lang w:val="nl-NL"/>
              </w:rPr>
              <w:t>daughter.</w:t>
            </w:r>
          </w:p>
          <w:p w:rsidR="00996C36" w:rsidRDefault="000C4A4B">
            <w:pPr>
              <w:spacing w:after="0" w:line="240" w:lineRule="auto"/>
              <w:rPr>
                <w:rFonts w:cs="Calibri"/>
                <w:b/>
                <w:lang w:val="nl-NL"/>
              </w:rPr>
            </w:pPr>
            <w:r w:rsidRPr="00576EA6">
              <w:rPr>
                <w:rFonts w:cs="Calibri"/>
                <w:b/>
                <w:lang w:val="nl-NL"/>
              </w:rPr>
              <w:t>The applicant appealed against this decision.</w:t>
            </w:r>
          </w:p>
        </w:tc>
      </w:tr>
      <w:tr w:rsidR="00996C36" w:rsidTr="00693E5F">
        <w:trPr>
          <w:trHeight w:val="385"/>
        </w:trPr>
        <w:tc>
          <w:tcPr>
            <w:tcW w:w="427" w:type="dxa"/>
            <w:tcBorders>
              <w:top w:val="single" w:sz="4" w:space="0" w:color="auto"/>
              <w:left w:val="single" w:sz="4" w:space="0" w:color="000000"/>
              <w:bottom w:val="single" w:sz="4" w:space="0" w:color="auto"/>
              <w:right w:val="single" w:sz="4" w:space="0" w:color="000000"/>
            </w:tcBorders>
            <w:hideMark/>
          </w:tcPr>
          <w:p w:rsidR="00996C36" w:rsidRDefault="00996C36">
            <w:pPr>
              <w:spacing w:after="0" w:line="240" w:lineRule="auto"/>
              <w:rPr>
                <w:rFonts w:cs="Calibri"/>
                <w:lang w:val="nl-NL"/>
              </w:rPr>
            </w:pPr>
            <w:r>
              <w:rPr>
                <w:rFonts w:cs="Calibri"/>
                <w:b/>
                <w:lang w:val="nl-NL"/>
              </w:rPr>
              <w:t xml:space="preserve">        </w:t>
            </w:r>
          </w:p>
        </w:tc>
        <w:tc>
          <w:tcPr>
            <w:tcW w:w="2267" w:type="dxa"/>
            <w:tcBorders>
              <w:top w:val="single" w:sz="4" w:space="0" w:color="auto"/>
              <w:left w:val="single" w:sz="4" w:space="0" w:color="000000"/>
              <w:bottom w:val="single" w:sz="4" w:space="0" w:color="auto"/>
              <w:right w:val="single" w:sz="4" w:space="0" w:color="000000"/>
            </w:tcBorders>
            <w:hideMark/>
          </w:tcPr>
          <w:p w:rsidR="00996C36" w:rsidRDefault="00996C36" w:rsidP="00693E5F">
            <w:pPr>
              <w:spacing w:after="0" w:line="240" w:lineRule="auto"/>
              <w:rPr>
                <w:rFonts w:cs="Calibri"/>
                <w:i/>
              </w:rPr>
            </w:pPr>
            <w:r>
              <w:rPr>
                <w:rFonts w:cs="Calibri"/>
                <w:i/>
              </w:rPr>
              <w:t>Decision &amp; Reasoning</w:t>
            </w:r>
          </w:p>
        </w:tc>
        <w:tc>
          <w:tcPr>
            <w:tcW w:w="6770" w:type="dxa"/>
            <w:gridSpan w:val="2"/>
            <w:tcBorders>
              <w:top w:val="single" w:sz="4" w:space="0" w:color="auto"/>
              <w:left w:val="single" w:sz="4" w:space="0" w:color="000000"/>
              <w:bottom w:val="single" w:sz="4" w:space="0" w:color="auto"/>
              <w:right w:val="single" w:sz="4" w:space="0" w:color="000000"/>
            </w:tcBorders>
          </w:tcPr>
          <w:p w:rsidR="000C4A4B" w:rsidRDefault="000C4A4B" w:rsidP="000C4A4B">
            <w:pPr>
              <w:snapToGrid w:val="0"/>
              <w:spacing w:after="0" w:line="100" w:lineRule="atLeast"/>
              <w:jc w:val="both"/>
              <w:rPr>
                <w:rFonts w:cs="Calibri"/>
                <w:b/>
                <w:lang w:val="nl-NL"/>
              </w:rPr>
            </w:pPr>
            <w:r>
              <w:rPr>
                <w:rFonts w:cs="Calibri"/>
                <w:b/>
                <w:lang w:val="nl-NL"/>
              </w:rPr>
              <w:t>The Asylum Court accepted the appeal after a hearing, admitted it to the procedure in merits and returned it to the Federal Asylum Office.</w:t>
            </w:r>
          </w:p>
          <w:p w:rsidR="000C4A4B" w:rsidRPr="000C4A4B" w:rsidRDefault="000C4A4B" w:rsidP="000C4A4B">
            <w:pPr>
              <w:spacing w:after="0" w:line="100" w:lineRule="atLeast"/>
              <w:jc w:val="both"/>
              <w:rPr>
                <w:rFonts w:cs="Calibri"/>
                <w:b/>
                <w:lang w:val="nl-NL"/>
              </w:rPr>
            </w:pPr>
            <w:r>
              <w:rPr>
                <w:rFonts w:cs="Calibri"/>
                <w:b/>
                <w:lang w:val="nl-NL"/>
              </w:rPr>
              <w:t xml:space="preserve">In this case, </w:t>
            </w:r>
            <w:r w:rsidRPr="000C4A4B">
              <w:rPr>
                <w:rFonts w:cs="Calibri"/>
                <w:b/>
                <w:lang w:val="nl-NL"/>
              </w:rPr>
              <w:t>the combination of a real risk of a violation of Art 3 and Art 8 ECHR through the separation from her daughter and the fact that she has dementia and will need more and more support in everyday’s life, leads to the conclusion that Austria must use the sovereignty clause in combination with Art 15 Dublin II regulation.</w:t>
            </w:r>
          </w:p>
          <w:p w:rsidR="00996C36" w:rsidRDefault="000C4A4B" w:rsidP="00693E5F">
            <w:pPr>
              <w:tabs>
                <w:tab w:val="left" w:pos="1332"/>
              </w:tabs>
              <w:spacing w:after="0" w:line="240" w:lineRule="auto"/>
              <w:jc w:val="both"/>
              <w:rPr>
                <w:rFonts w:cs="Calibri"/>
                <w:b/>
                <w:lang w:val="nl-NL"/>
              </w:rPr>
            </w:pPr>
            <w:r w:rsidRPr="000C4A4B">
              <w:rPr>
                <w:rFonts w:cs="Calibri"/>
                <w:b/>
                <w:lang w:val="nl-NL"/>
              </w:rPr>
              <w:t>Art 15 Dublin II regualtion is not directly applicable but still valid as a model for the use in sovereignity clauses. The</w:t>
            </w:r>
            <w:r>
              <w:rPr>
                <w:rFonts w:cs="Calibri"/>
                <w:b/>
                <w:lang w:val="nl-NL"/>
              </w:rPr>
              <w:t xml:space="preserve"> Federal Asylum Office can not reject the application due to the Dublin II regulation once more.</w:t>
            </w:r>
          </w:p>
        </w:tc>
      </w:tr>
      <w:tr w:rsidR="00996C36" w:rsidRPr="00996C36" w:rsidTr="00693E5F">
        <w:trPr>
          <w:trHeight w:val="385"/>
        </w:trPr>
        <w:tc>
          <w:tcPr>
            <w:tcW w:w="427" w:type="dxa"/>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b/>
                <w:lang w:val="nl-NL"/>
              </w:rPr>
            </w:pPr>
          </w:p>
        </w:tc>
        <w:tc>
          <w:tcPr>
            <w:tcW w:w="2267" w:type="dxa"/>
            <w:tcBorders>
              <w:top w:val="single" w:sz="4" w:space="0" w:color="auto"/>
              <w:left w:val="single" w:sz="4" w:space="0" w:color="000000"/>
              <w:bottom w:val="single" w:sz="4" w:space="0" w:color="auto"/>
              <w:right w:val="single" w:sz="4" w:space="0" w:color="000000"/>
            </w:tcBorders>
            <w:hideMark/>
          </w:tcPr>
          <w:p w:rsidR="00996C36" w:rsidRDefault="00996C36" w:rsidP="00693E5F">
            <w:pPr>
              <w:spacing w:after="0" w:line="240" w:lineRule="auto"/>
              <w:rPr>
                <w:rFonts w:cs="Calibri"/>
                <w:i/>
                <w:lang w:val="en-US"/>
              </w:rPr>
            </w:pPr>
            <w:r>
              <w:rPr>
                <w:rFonts w:cs="Calibri"/>
                <w:i/>
                <w:lang w:val="en-US"/>
              </w:rPr>
              <w:t>Relevant extracts from the judgement</w:t>
            </w:r>
          </w:p>
        </w:tc>
        <w:tc>
          <w:tcPr>
            <w:tcW w:w="6770" w:type="dxa"/>
            <w:gridSpan w:val="2"/>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b/>
                <w:lang w:val="nl-NL"/>
              </w:rPr>
            </w:pPr>
          </w:p>
        </w:tc>
      </w:tr>
      <w:tr w:rsidR="00996C36" w:rsidTr="00693E5F">
        <w:trPr>
          <w:trHeight w:val="325"/>
        </w:trPr>
        <w:tc>
          <w:tcPr>
            <w:tcW w:w="427" w:type="dxa"/>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lang w:val="nl-NL"/>
              </w:rPr>
            </w:pPr>
          </w:p>
        </w:tc>
        <w:tc>
          <w:tcPr>
            <w:tcW w:w="2267" w:type="dxa"/>
            <w:tcBorders>
              <w:top w:val="single" w:sz="4" w:space="0" w:color="auto"/>
              <w:left w:val="single" w:sz="4" w:space="0" w:color="000000"/>
              <w:bottom w:val="single" w:sz="4" w:space="0" w:color="auto"/>
              <w:right w:val="single" w:sz="4" w:space="0" w:color="000000"/>
            </w:tcBorders>
            <w:hideMark/>
          </w:tcPr>
          <w:p w:rsidR="00996C36" w:rsidRDefault="00996C36">
            <w:pPr>
              <w:spacing w:after="0" w:line="240" w:lineRule="auto"/>
              <w:rPr>
                <w:rFonts w:cs="Calibri"/>
                <w:i/>
              </w:rPr>
            </w:pPr>
            <w:r>
              <w:rPr>
                <w:rFonts w:cs="Calibri"/>
                <w:i/>
              </w:rPr>
              <w:t>Outcome of proceedings</w:t>
            </w:r>
          </w:p>
        </w:tc>
        <w:tc>
          <w:tcPr>
            <w:tcW w:w="6770" w:type="dxa"/>
            <w:gridSpan w:val="2"/>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bCs/>
                <w:lang w:val="nl-NL"/>
              </w:rPr>
            </w:pPr>
          </w:p>
        </w:tc>
      </w:tr>
      <w:tr w:rsidR="00996C36" w:rsidTr="00693E5F">
        <w:tc>
          <w:tcPr>
            <w:tcW w:w="2694" w:type="dxa"/>
            <w:gridSpan w:val="2"/>
            <w:tcBorders>
              <w:top w:val="nil"/>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r>
              <w:rPr>
                <w:rFonts w:cs="Calibri"/>
              </w:rPr>
              <w:t>Subsequent Proceedings</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693E5F" w:rsidP="00693E5F">
            <w:pPr>
              <w:spacing w:after="0" w:line="240" w:lineRule="auto"/>
              <w:jc w:val="both"/>
              <w:rPr>
                <w:rFonts w:cs="Calibri"/>
                <w:b/>
                <w:lang w:val="nl-NL"/>
              </w:rPr>
            </w:pPr>
            <w:r>
              <w:rPr>
                <w:rFonts w:cs="Calibri"/>
                <w:b/>
                <w:lang w:val="nl-NL"/>
              </w:rPr>
              <w:t>The Federal Asylum procedure conducted a procedure in merits and issued a negative decision as well as an expulsion order to the Russian Federation. The applicant appealed against this decision. Since then the asylum procedure is pending at the Asylum Court.</w:t>
            </w:r>
          </w:p>
        </w:tc>
      </w:tr>
      <w:tr w:rsidR="00996C36" w:rsidRPr="00996C36" w:rsidTr="00693E5F">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lang w:val="en-US"/>
              </w:rPr>
            </w:pPr>
            <w:smartTag w:uri="urn:schemas-microsoft-com:office:smarttags" w:element="City">
              <w:r>
                <w:rPr>
                  <w:rFonts w:cs="Calibri"/>
                  <w:bCs/>
                  <w:lang w:val="en-US"/>
                </w:rPr>
                <w:t>Dublin</w:t>
              </w:r>
            </w:smartTag>
            <w:r>
              <w:rPr>
                <w:rFonts w:cs="Calibri"/>
                <w:bCs/>
                <w:lang w:val="en-US"/>
              </w:rPr>
              <w:t xml:space="preserve"> regulation’s legal provisions applicable </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0C4A4B">
            <w:pPr>
              <w:spacing w:after="0" w:line="240" w:lineRule="auto"/>
              <w:rPr>
                <w:rFonts w:cs="Calibri"/>
                <w:b/>
                <w:lang w:val="en-US"/>
              </w:rPr>
            </w:pPr>
            <w:r>
              <w:rPr>
                <w:rFonts w:cs="Calibri"/>
                <w:b/>
                <w:lang w:val="en-GB"/>
              </w:rPr>
              <w:t>Art 16 (1) (c), Art 3 (2), Art 15</w:t>
            </w:r>
          </w:p>
        </w:tc>
      </w:tr>
      <w:tr w:rsidR="00996C36" w:rsidTr="00693E5F">
        <w:trPr>
          <w:cantSplit/>
        </w:trPr>
        <w:tc>
          <w:tcPr>
            <w:tcW w:w="2694" w:type="dxa"/>
            <w:gridSpan w:val="2"/>
            <w:vMerge w:val="restart"/>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rPr>
            </w:pPr>
            <w:r>
              <w:rPr>
                <w:rFonts w:cs="Calibri"/>
                <w:bCs/>
              </w:rPr>
              <w:lastRenderedPageBreak/>
              <w:t xml:space="preserve">Legal provisions cited </w:t>
            </w:r>
          </w:p>
          <w:p w:rsidR="00996C36" w:rsidRDefault="00996C36">
            <w:pPr>
              <w:spacing w:after="0" w:line="240" w:lineRule="auto"/>
              <w:rPr>
                <w:rFonts w:cs="Calibri"/>
                <w:bCs/>
                <w:lang w:val="en-US"/>
              </w:rPr>
            </w:pPr>
            <w:r>
              <w:rPr>
                <w:rFonts w:cs="Calibri"/>
                <w:bCs/>
              </w:rPr>
              <w:t>(national &amp; international references)</w:t>
            </w:r>
          </w:p>
        </w:tc>
        <w:tc>
          <w:tcPr>
            <w:tcW w:w="3122" w:type="dxa"/>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Cs/>
                <w:i/>
                <w:iCs/>
                <w:lang w:val="en-US"/>
              </w:rPr>
            </w:pPr>
            <w:r>
              <w:rPr>
                <w:rFonts w:cs="Calibri"/>
                <w:bCs/>
                <w:i/>
                <w:iCs/>
                <w:lang w:val="en-US"/>
              </w:rPr>
              <w:t>Legislation</w:t>
            </w:r>
          </w:p>
          <w:p w:rsidR="00996C36" w:rsidRDefault="00996C36">
            <w:pPr>
              <w:spacing w:after="0" w:line="240" w:lineRule="auto"/>
              <w:rPr>
                <w:rFonts w:cs="Calibri"/>
                <w:bCs/>
                <w:i/>
                <w:iCs/>
                <w:lang w:val="en-US"/>
              </w:rPr>
            </w:pPr>
          </w:p>
        </w:tc>
        <w:tc>
          <w:tcPr>
            <w:tcW w:w="3648" w:type="dxa"/>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i/>
                <w:iCs/>
                <w:lang w:val="en-US"/>
              </w:rPr>
            </w:pPr>
            <w:r>
              <w:rPr>
                <w:rFonts w:cs="Calibri"/>
                <w:bCs/>
                <w:i/>
                <w:iCs/>
                <w:lang w:val="en-US"/>
              </w:rPr>
              <w:t>Articles</w:t>
            </w:r>
          </w:p>
        </w:tc>
      </w:tr>
      <w:tr w:rsidR="00996C36" w:rsidTr="00693E5F">
        <w:trPr>
          <w:cantSplit/>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lang w:val="en-US"/>
              </w:rPr>
            </w:pPr>
          </w:p>
        </w:tc>
        <w:tc>
          <w:tcPr>
            <w:tcW w:w="3122" w:type="dxa"/>
            <w:tcBorders>
              <w:top w:val="single" w:sz="4" w:space="0" w:color="000000"/>
              <w:left w:val="single" w:sz="4" w:space="0" w:color="000000"/>
              <w:bottom w:val="dashed" w:sz="4" w:space="0" w:color="auto"/>
              <w:right w:val="dashed" w:sz="4" w:space="0" w:color="auto"/>
            </w:tcBorders>
          </w:tcPr>
          <w:p w:rsidR="00996C36" w:rsidRDefault="000C4A4B">
            <w:pPr>
              <w:spacing w:after="0" w:line="240" w:lineRule="auto"/>
              <w:rPr>
                <w:rFonts w:cs="Calibri"/>
                <w:bCs/>
                <w:lang w:val="en-US"/>
              </w:rPr>
            </w:pPr>
            <w:r>
              <w:rPr>
                <w:rFonts w:cs="Calibri"/>
                <w:bCs/>
                <w:lang w:val="en-US"/>
              </w:rPr>
              <w:t>ECHR</w:t>
            </w:r>
          </w:p>
        </w:tc>
        <w:tc>
          <w:tcPr>
            <w:tcW w:w="3648" w:type="dxa"/>
            <w:tcBorders>
              <w:top w:val="single" w:sz="4" w:space="0" w:color="000000"/>
              <w:left w:val="dashed" w:sz="4" w:space="0" w:color="auto"/>
              <w:bottom w:val="dashed" w:sz="4" w:space="0" w:color="auto"/>
              <w:right w:val="single" w:sz="4" w:space="0" w:color="000000"/>
            </w:tcBorders>
          </w:tcPr>
          <w:p w:rsidR="00996C36" w:rsidRDefault="000C4A4B">
            <w:pPr>
              <w:spacing w:after="0" w:line="240" w:lineRule="auto"/>
              <w:rPr>
                <w:rFonts w:cs="Calibri"/>
                <w:bCs/>
                <w:lang w:val="en-US"/>
              </w:rPr>
            </w:pPr>
            <w:r>
              <w:rPr>
                <w:rFonts w:cs="Calibri"/>
                <w:bCs/>
                <w:lang w:val="en-US"/>
              </w:rPr>
              <w:t>Art 3, Art 8</w:t>
            </w:r>
          </w:p>
        </w:tc>
      </w:tr>
      <w:tr w:rsidR="00996C36" w:rsidTr="00693E5F">
        <w:trPr>
          <w:cantSplit/>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lang w:val="en-US"/>
              </w:rPr>
            </w:pPr>
          </w:p>
        </w:tc>
        <w:tc>
          <w:tcPr>
            <w:tcW w:w="3122" w:type="dxa"/>
            <w:tcBorders>
              <w:top w:val="dashed" w:sz="4" w:space="0" w:color="auto"/>
              <w:left w:val="single" w:sz="4" w:space="0" w:color="000000"/>
              <w:bottom w:val="single" w:sz="4" w:space="0" w:color="000000"/>
              <w:right w:val="dashed" w:sz="4" w:space="0" w:color="auto"/>
            </w:tcBorders>
          </w:tcPr>
          <w:p w:rsidR="00996C36" w:rsidRDefault="000C4A4B">
            <w:pPr>
              <w:spacing w:after="0" w:line="240" w:lineRule="auto"/>
              <w:rPr>
                <w:rFonts w:cs="Calibri"/>
                <w:bCs/>
                <w:lang w:val="en-US"/>
              </w:rPr>
            </w:pPr>
            <w:r>
              <w:rPr>
                <w:rFonts w:cs="Calibri"/>
                <w:bCs/>
                <w:lang w:val="en-US"/>
              </w:rPr>
              <w:t>Asylum Law (Asylgesetz 2005)</w:t>
            </w:r>
          </w:p>
        </w:tc>
        <w:tc>
          <w:tcPr>
            <w:tcW w:w="3648" w:type="dxa"/>
            <w:tcBorders>
              <w:top w:val="dashed" w:sz="4" w:space="0" w:color="auto"/>
              <w:left w:val="dashed" w:sz="4" w:space="0" w:color="auto"/>
              <w:bottom w:val="single" w:sz="4" w:space="0" w:color="000000"/>
              <w:right w:val="single" w:sz="4" w:space="0" w:color="000000"/>
            </w:tcBorders>
          </w:tcPr>
          <w:p w:rsidR="00996C36" w:rsidRDefault="000C4A4B">
            <w:pPr>
              <w:spacing w:after="0" w:line="240" w:lineRule="auto"/>
              <w:rPr>
                <w:rFonts w:cs="Calibri"/>
                <w:bCs/>
                <w:lang w:val="en-US"/>
              </w:rPr>
            </w:pPr>
            <w:r>
              <w:rPr>
                <w:rFonts w:cs="Calibri"/>
                <w:bCs/>
                <w:lang w:val="en-US"/>
              </w:rPr>
              <w:t>§§ 5, 10; § 41 (3)</w:t>
            </w:r>
          </w:p>
        </w:tc>
      </w:tr>
      <w:tr w:rsidR="00996C36" w:rsidTr="00693E5F">
        <w:trPr>
          <w:cantSplit/>
          <w:trHeight w:val="304"/>
        </w:trPr>
        <w:tc>
          <w:tcPr>
            <w:tcW w:w="2694" w:type="dxa"/>
            <w:gridSpan w:val="2"/>
            <w:vMerge w:val="restart"/>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lang w:val="en-US"/>
              </w:rPr>
            </w:pPr>
            <w:r>
              <w:rPr>
                <w:rFonts w:cs="Calibri"/>
                <w:bCs/>
                <w:lang w:val="en-US"/>
              </w:rPr>
              <w:t>Case law cited</w:t>
            </w:r>
          </w:p>
          <w:p w:rsidR="00996C36" w:rsidRDefault="00996C36">
            <w:pPr>
              <w:spacing w:after="0" w:line="240" w:lineRule="auto"/>
              <w:rPr>
                <w:rFonts w:cs="Calibri"/>
                <w:bCs/>
                <w:lang w:val="en-US"/>
              </w:rPr>
            </w:pPr>
            <w:r>
              <w:rPr>
                <w:rFonts w:cs="Calibri"/>
                <w:bCs/>
                <w:lang w:val="en-US"/>
              </w:rPr>
              <w:t>(national &amp; international references)</w:t>
            </w:r>
          </w:p>
        </w:tc>
        <w:tc>
          <w:tcPr>
            <w:tcW w:w="3122" w:type="dxa"/>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Cs/>
                <w:i/>
                <w:iCs/>
              </w:rPr>
            </w:pPr>
            <w:r>
              <w:rPr>
                <w:rFonts w:cs="Calibri"/>
                <w:bCs/>
                <w:i/>
                <w:iCs/>
              </w:rPr>
              <w:t>Court name</w:t>
            </w:r>
          </w:p>
          <w:p w:rsidR="00996C36" w:rsidRDefault="00996C36">
            <w:pPr>
              <w:spacing w:after="0" w:line="240" w:lineRule="auto"/>
              <w:rPr>
                <w:rFonts w:cs="Calibri"/>
                <w:bCs/>
                <w:i/>
                <w:iCs/>
              </w:rPr>
            </w:pPr>
          </w:p>
        </w:tc>
        <w:tc>
          <w:tcPr>
            <w:tcW w:w="3648" w:type="dxa"/>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i/>
                <w:iCs/>
              </w:rPr>
            </w:pPr>
            <w:r>
              <w:rPr>
                <w:rFonts w:cs="Calibri"/>
                <w:bCs/>
                <w:i/>
                <w:iCs/>
              </w:rPr>
              <w:t>Neutral citation</w:t>
            </w:r>
          </w:p>
        </w:tc>
      </w:tr>
      <w:tr w:rsidR="00996C36" w:rsidTr="00693E5F">
        <w:trPr>
          <w:cantSplit/>
          <w:trHeight w:val="266"/>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lang w:val="en-US"/>
              </w:rPr>
            </w:pPr>
          </w:p>
        </w:tc>
        <w:tc>
          <w:tcPr>
            <w:tcW w:w="3122" w:type="dxa"/>
            <w:tcBorders>
              <w:top w:val="single" w:sz="4" w:space="0" w:color="000000"/>
              <w:left w:val="single" w:sz="4" w:space="0" w:color="000000"/>
              <w:bottom w:val="dashed" w:sz="4" w:space="0" w:color="auto"/>
              <w:right w:val="dashed" w:sz="4" w:space="0" w:color="auto"/>
            </w:tcBorders>
          </w:tcPr>
          <w:p w:rsidR="00996C36" w:rsidRDefault="00996C36">
            <w:pPr>
              <w:spacing w:after="0" w:line="240" w:lineRule="auto"/>
              <w:rPr>
                <w:rFonts w:cs="Calibri"/>
                <w:bCs/>
              </w:rPr>
            </w:pPr>
          </w:p>
        </w:tc>
        <w:tc>
          <w:tcPr>
            <w:tcW w:w="3648" w:type="dxa"/>
            <w:tcBorders>
              <w:top w:val="single" w:sz="4" w:space="0" w:color="000000"/>
              <w:left w:val="dashed" w:sz="4" w:space="0" w:color="auto"/>
              <w:bottom w:val="dashed" w:sz="4" w:space="0" w:color="auto"/>
              <w:right w:val="single" w:sz="4" w:space="0" w:color="000000"/>
            </w:tcBorders>
          </w:tcPr>
          <w:p w:rsidR="00996C36" w:rsidRDefault="00996C36">
            <w:pPr>
              <w:spacing w:after="0" w:line="240" w:lineRule="auto"/>
              <w:rPr>
                <w:rFonts w:cs="Calibri"/>
                <w:bCs/>
              </w:rPr>
            </w:pPr>
          </w:p>
        </w:tc>
      </w:tr>
      <w:tr w:rsidR="00996C36" w:rsidTr="00693E5F">
        <w:trPr>
          <w:cantSplit/>
          <w:trHeight w:val="232"/>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lang w:val="en-US"/>
              </w:rPr>
            </w:pPr>
          </w:p>
        </w:tc>
        <w:tc>
          <w:tcPr>
            <w:tcW w:w="3122" w:type="dxa"/>
            <w:tcBorders>
              <w:top w:val="dashed" w:sz="4" w:space="0" w:color="auto"/>
              <w:left w:val="single" w:sz="4" w:space="0" w:color="000000"/>
              <w:bottom w:val="single" w:sz="4" w:space="0" w:color="000000"/>
              <w:right w:val="dashed" w:sz="4" w:space="0" w:color="auto"/>
            </w:tcBorders>
          </w:tcPr>
          <w:p w:rsidR="00996C36" w:rsidRDefault="00996C36">
            <w:pPr>
              <w:spacing w:after="0" w:line="240" w:lineRule="auto"/>
              <w:rPr>
                <w:rFonts w:cs="Calibri"/>
                <w:bCs/>
              </w:rPr>
            </w:pPr>
          </w:p>
        </w:tc>
        <w:tc>
          <w:tcPr>
            <w:tcW w:w="3648" w:type="dxa"/>
            <w:tcBorders>
              <w:top w:val="dashed" w:sz="4" w:space="0" w:color="auto"/>
              <w:left w:val="dashed" w:sz="4" w:space="0" w:color="auto"/>
              <w:bottom w:val="single" w:sz="4" w:space="0" w:color="000000"/>
              <w:right w:val="single" w:sz="4" w:space="0" w:color="000000"/>
            </w:tcBorders>
          </w:tcPr>
          <w:p w:rsidR="00996C36" w:rsidRDefault="00996C36">
            <w:pPr>
              <w:spacing w:after="0" w:line="240" w:lineRule="auto"/>
              <w:rPr>
                <w:rFonts w:cs="Calibri"/>
                <w:bCs/>
              </w:rPr>
            </w:pPr>
          </w:p>
        </w:tc>
      </w:tr>
      <w:tr w:rsidR="00996C36" w:rsidTr="00693E5F">
        <w:trPr>
          <w:cantSplit/>
          <w:trHeight w:val="274"/>
        </w:trPr>
        <w:tc>
          <w:tcPr>
            <w:tcW w:w="2694" w:type="dxa"/>
            <w:gridSpan w:val="2"/>
            <w:vMerge w:val="restart"/>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rPr>
            </w:pPr>
            <w:r>
              <w:rPr>
                <w:rFonts w:cs="Calibri"/>
                <w:bCs/>
              </w:rPr>
              <w:t xml:space="preserve">Other sources cited (NGO reports etc) </w:t>
            </w:r>
          </w:p>
        </w:tc>
        <w:tc>
          <w:tcPr>
            <w:tcW w:w="3122" w:type="dxa"/>
            <w:tcBorders>
              <w:top w:val="single" w:sz="4" w:space="0" w:color="000000"/>
              <w:left w:val="single" w:sz="4" w:space="0" w:color="000000"/>
              <w:bottom w:val="single" w:sz="4" w:space="0" w:color="000000"/>
              <w:right w:val="single" w:sz="4" w:space="0" w:color="000000"/>
            </w:tcBorders>
          </w:tcPr>
          <w:p w:rsidR="00996C36" w:rsidRDefault="00996C36">
            <w:pPr>
              <w:tabs>
                <w:tab w:val="left" w:pos="1575"/>
              </w:tabs>
              <w:spacing w:after="0" w:line="240" w:lineRule="auto"/>
              <w:rPr>
                <w:rFonts w:cs="Calibri"/>
                <w:bCs/>
                <w:i/>
                <w:iCs/>
              </w:rPr>
            </w:pPr>
            <w:r>
              <w:rPr>
                <w:rFonts w:cs="Calibri"/>
                <w:bCs/>
                <w:i/>
                <w:iCs/>
              </w:rPr>
              <w:t>Organization</w:t>
            </w:r>
            <w:r>
              <w:rPr>
                <w:rFonts w:cs="Calibri"/>
                <w:bCs/>
                <w:i/>
                <w:iCs/>
              </w:rPr>
              <w:tab/>
            </w:r>
          </w:p>
          <w:p w:rsidR="00996C36" w:rsidRDefault="00996C36">
            <w:pPr>
              <w:tabs>
                <w:tab w:val="left" w:pos="1575"/>
              </w:tabs>
              <w:spacing w:after="0" w:line="240" w:lineRule="auto"/>
              <w:rPr>
                <w:rFonts w:cs="Calibri"/>
                <w:bCs/>
                <w:i/>
                <w:iCs/>
              </w:rPr>
            </w:pPr>
          </w:p>
        </w:tc>
        <w:tc>
          <w:tcPr>
            <w:tcW w:w="3648" w:type="dxa"/>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i/>
                <w:iCs/>
              </w:rPr>
            </w:pPr>
            <w:r>
              <w:rPr>
                <w:rFonts w:cs="Calibri"/>
                <w:bCs/>
                <w:i/>
                <w:iCs/>
              </w:rPr>
              <w:t>Reference</w:t>
            </w:r>
          </w:p>
        </w:tc>
      </w:tr>
      <w:tr w:rsidR="00996C36" w:rsidTr="00693E5F">
        <w:trPr>
          <w:cantSplit/>
          <w:trHeight w:val="278"/>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rPr>
            </w:pPr>
          </w:p>
        </w:tc>
        <w:tc>
          <w:tcPr>
            <w:tcW w:w="3122" w:type="dxa"/>
            <w:tcBorders>
              <w:top w:val="single" w:sz="4" w:space="0" w:color="000000"/>
              <w:left w:val="single" w:sz="4" w:space="0" w:color="000000"/>
              <w:bottom w:val="dashed" w:sz="4" w:space="0" w:color="auto"/>
              <w:right w:val="dashed" w:sz="4" w:space="0" w:color="auto"/>
            </w:tcBorders>
          </w:tcPr>
          <w:p w:rsidR="00996C36" w:rsidRDefault="00996C36">
            <w:pPr>
              <w:spacing w:after="0" w:line="240" w:lineRule="auto"/>
              <w:rPr>
                <w:rFonts w:cs="Calibri"/>
                <w:bCs/>
              </w:rPr>
            </w:pPr>
          </w:p>
        </w:tc>
        <w:tc>
          <w:tcPr>
            <w:tcW w:w="3648" w:type="dxa"/>
            <w:tcBorders>
              <w:top w:val="single" w:sz="4" w:space="0" w:color="000000"/>
              <w:left w:val="dashed" w:sz="4" w:space="0" w:color="auto"/>
              <w:bottom w:val="dashed" w:sz="4" w:space="0" w:color="auto"/>
              <w:right w:val="single" w:sz="4" w:space="0" w:color="000000"/>
            </w:tcBorders>
          </w:tcPr>
          <w:p w:rsidR="00996C36" w:rsidRDefault="00996C36">
            <w:pPr>
              <w:spacing w:after="0" w:line="240" w:lineRule="auto"/>
              <w:rPr>
                <w:rFonts w:cs="Calibri"/>
                <w:bCs/>
              </w:rPr>
            </w:pPr>
          </w:p>
        </w:tc>
      </w:tr>
      <w:tr w:rsidR="00996C36" w:rsidTr="00693E5F">
        <w:trPr>
          <w:cantSplit/>
          <w:trHeight w:val="282"/>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rPr>
            </w:pPr>
          </w:p>
        </w:tc>
        <w:tc>
          <w:tcPr>
            <w:tcW w:w="3122" w:type="dxa"/>
            <w:tcBorders>
              <w:top w:val="dashed" w:sz="4" w:space="0" w:color="auto"/>
              <w:left w:val="single" w:sz="4" w:space="0" w:color="000000"/>
              <w:bottom w:val="single" w:sz="4" w:space="0" w:color="000000"/>
              <w:right w:val="dashed" w:sz="4" w:space="0" w:color="auto"/>
            </w:tcBorders>
          </w:tcPr>
          <w:p w:rsidR="00996C36" w:rsidRDefault="00996C36">
            <w:pPr>
              <w:spacing w:after="0" w:line="240" w:lineRule="auto"/>
              <w:rPr>
                <w:rFonts w:cs="Calibri"/>
                <w:b/>
              </w:rPr>
            </w:pPr>
          </w:p>
        </w:tc>
        <w:tc>
          <w:tcPr>
            <w:tcW w:w="3648" w:type="dxa"/>
            <w:tcBorders>
              <w:top w:val="dashed" w:sz="4" w:space="0" w:color="auto"/>
              <w:left w:val="dashed" w:sz="4" w:space="0" w:color="auto"/>
              <w:bottom w:val="single" w:sz="4" w:space="0" w:color="000000"/>
              <w:right w:val="single" w:sz="4" w:space="0" w:color="000000"/>
            </w:tcBorders>
          </w:tcPr>
          <w:p w:rsidR="00996C36" w:rsidRDefault="00996C36">
            <w:pPr>
              <w:spacing w:after="0" w:line="240" w:lineRule="auto"/>
              <w:rPr>
                <w:rFonts w:cs="Calibri"/>
                <w:b/>
              </w:rPr>
            </w:pPr>
          </w:p>
        </w:tc>
      </w:tr>
      <w:tr w:rsidR="00996C36" w:rsidTr="00693E5F">
        <w:tc>
          <w:tcPr>
            <w:tcW w:w="2694"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rPr>
            </w:pPr>
            <w:r>
              <w:rPr>
                <w:rFonts w:cs="Calibri"/>
              </w:rPr>
              <w:t>Observations/Comments</w:t>
            </w:r>
          </w:p>
          <w:p w:rsidR="00996C36" w:rsidRDefault="00996C36">
            <w:pPr>
              <w:spacing w:after="0" w:line="240" w:lineRule="auto"/>
              <w:rPr>
                <w:rFonts w:cs="Calibri"/>
              </w:rPr>
            </w:pP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0C4A4B" w:rsidP="000C4A4B">
            <w:pPr>
              <w:spacing w:after="0" w:line="240" w:lineRule="auto"/>
              <w:jc w:val="both"/>
              <w:rPr>
                <w:rFonts w:cs="Calibri"/>
                <w:b/>
              </w:rPr>
            </w:pPr>
            <w:r w:rsidRPr="00576EA6">
              <w:rPr>
                <w:rFonts w:cs="Calibri"/>
                <w:b/>
                <w:lang w:val="en-US"/>
              </w:rPr>
              <w:t>T</w:t>
            </w:r>
            <w:r w:rsidRPr="00576EA6">
              <w:rPr>
                <w:rFonts w:cs="Calibri"/>
                <w:b/>
              </w:rPr>
              <w:t xml:space="preserve">here seems to be a problem </w:t>
            </w:r>
            <w:r w:rsidRPr="00576EA6">
              <w:rPr>
                <w:rFonts w:cs="Calibri"/>
                <w:b/>
                <w:lang w:val="en-US"/>
              </w:rPr>
              <w:t>c</w:t>
            </w:r>
            <w:r w:rsidRPr="00576EA6">
              <w:rPr>
                <w:rFonts w:cs="Calibri"/>
                <w:b/>
              </w:rPr>
              <w:t xml:space="preserve">oncerning the awareness of persons applying for asylum in Poland: Most asylum seekers enter Poland by train via Brest and Terespol. At a certain point during this train ride, the Polish police boards the train and examines the travelers's ID's. </w:t>
            </w:r>
            <w:r w:rsidRPr="00576EA6">
              <w:rPr>
                <w:rFonts w:cs="Calibri"/>
                <w:b/>
                <w:lang w:val="en-US"/>
              </w:rPr>
              <w:t xml:space="preserve">Travelers who do not have a visa or permission </w:t>
            </w:r>
            <w:r w:rsidRPr="00576EA6">
              <w:rPr>
                <w:rFonts w:cs="Calibri"/>
                <w:b/>
              </w:rPr>
              <w:t xml:space="preserve">to enter Poland </w:t>
            </w:r>
            <w:r w:rsidRPr="00576EA6">
              <w:rPr>
                <w:rFonts w:cs="Calibri"/>
                <w:b/>
                <w:lang w:val="en-US"/>
              </w:rPr>
              <w:t>are</w:t>
            </w:r>
            <w:r w:rsidRPr="00576EA6">
              <w:rPr>
                <w:rFonts w:cs="Calibri"/>
                <w:b/>
              </w:rPr>
              <w:t xml:space="preserve"> escorted to an office where they are briefly questioned and their fingerprints are taken. Many asylum seekers are not aware of the fact that this procedure is already an application for asylum. In their opinion it is simply a general registration and necessary for the continuation of their journey.</w:t>
            </w:r>
          </w:p>
        </w:tc>
      </w:tr>
    </w:tbl>
    <w:p w:rsidR="00996C36" w:rsidRDefault="00996C36" w:rsidP="00996C36">
      <w:pPr>
        <w:spacing w:after="0" w:line="240" w:lineRule="auto"/>
        <w:rPr>
          <w:rFonts w:cs="Calibri"/>
        </w:rPr>
      </w:pPr>
    </w:p>
    <w:p w:rsidR="007B31A6" w:rsidRDefault="007B31A6"/>
    <w:sectPr w:rsidR="007B31A6" w:rsidSect="007B31A6">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C36" w:rsidRDefault="00996C36" w:rsidP="00996C36">
      <w:pPr>
        <w:spacing w:after="0" w:line="240" w:lineRule="auto"/>
      </w:pPr>
      <w:r>
        <w:separator/>
      </w:r>
    </w:p>
  </w:endnote>
  <w:endnote w:type="continuationSeparator" w:id="0">
    <w:p w:rsidR="00996C36" w:rsidRDefault="00996C36" w:rsidP="00996C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C36" w:rsidRDefault="00996C36" w:rsidP="00996C36">
      <w:pPr>
        <w:spacing w:after="0" w:line="240" w:lineRule="auto"/>
      </w:pPr>
      <w:r>
        <w:separator/>
      </w:r>
    </w:p>
  </w:footnote>
  <w:footnote w:type="continuationSeparator" w:id="0">
    <w:p w:rsidR="00996C36" w:rsidRDefault="00996C36" w:rsidP="00996C3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996C36"/>
    <w:rsid w:val="000C4A4B"/>
    <w:rsid w:val="00132795"/>
    <w:rsid w:val="00366CD7"/>
    <w:rsid w:val="004A0E3D"/>
    <w:rsid w:val="005125CA"/>
    <w:rsid w:val="006318F6"/>
    <w:rsid w:val="00693E5F"/>
    <w:rsid w:val="007B31A6"/>
    <w:rsid w:val="0083197B"/>
    <w:rsid w:val="00996C36"/>
    <w:rsid w:val="009D1BC0"/>
    <w:rsid w:val="00A43DFF"/>
    <w:rsid w:val="00D004D8"/>
    <w:rsid w:val="00E465FA"/>
    <w:rsid w:val="00F429BE"/>
  </w:rsids>
  <m:mathPr>
    <m:mathFont m:val="Cambria Math"/>
    <m:brkBin m:val="before"/>
    <m:brkBinSub m:val="--"/>
    <m:smallFrac m:val="off"/>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96C36"/>
    <w:rPr>
      <w:rFonts w:ascii="Calibri" w:eastAsia="Calibri" w:hAnsi="Calibri" w:cs="Arial"/>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996C36"/>
    <w:rPr>
      <w:sz w:val="20"/>
      <w:szCs w:val="20"/>
    </w:rPr>
  </w:style>
  <w:style w:type="character" w:customStyle="1" w:styleId="FunotentextZchn">
    <w:name w:val="Fußnotentext Zchn"/>
    <w:basedOn w:val="Absatz-Standardschriftart"/>
    <w:link w:val="Funotentext"/>
    <w:uiPriority w:val="99"/>
    <w:semiHidden/>
    <w:rsid w:val="00996C36"/>
    <w:rPr>
      <w:rFonts w:ascii="Calibri" w:eastAsia="Calibri" w:hAnsi="Calibri" w:cs="Arial"/>
      <w:sz w:val="20"/>
      <w:szCs w:val="20"/>
      <w:lang w:val="fr-FR"/>
    </w:rPr>
  </w:style>
  <w:style w:type="paragraph" w:styleId="Kommentartext">
    <w:name w:val="annotation text"/>
    <w:basedOn w:val="Standard"/>
    <w:link w:val="KommentartextZchn"/>
    <w:uiPriority w:val="99"/>
    <w:semiHidden/>
    <w:unhideWhenUsed/>
    <w:rsid w:val="00996C36"/>
    <w:pPr>
      <w:spacing w:line="240" w:lineRule="auto"/>
    </w:pPr>
    <w:rPr>
      <w:rFonts w:cs="Times New Roman"/>
      <w:sz w:val="20"/>
      <w:szCs w:val="20"/>
      <w:lang w:val="en-IE"/>
    </w:rPr>
  </w:style>
  <w:style w:type="character" w:customStyle="1" w:styleId="KommentartextZchn">
    <w:name w:val="Kommentartext Zchn"/>
    <w:basedOn w:val="Absatz-Standardschriftart"/>
    <w:link w:val="Kommentartext"/>
    <w:uiPriority w:val="99"/>
    <w:semiHidden/>
    <w:rsid w:val="00996C36"/>
    <w:rPr>
      <w:rFonts w:ascii="Calibri" w:eastAsia="Calibri" w:hAnsi="Calibri" w:cs="Times New Roman"/>
      <w:sz w:val="20"/>
      <w:szCs w:val="20"/>
      <w:lang w:val="en-IE"/>
    </w:rPr>
  </w:style>
  <w:style w:type="character" w:styleId="Funotenzeichen">
    <w:name w:val="footnote reference"/>
    <w:basedOn w:val="Absatz-Standardschriftart"/>
    <w:uiPriority w:val="99"/>
    <w:semiHidden/>
    <w:unhideWhenUsed/>
    <w:rsid w:val="00996C36"/>
    <w:rPr>
      <w:rFonts w:ascii="Times New Roman" w:hAnsi="Times New Roman" w:cs="Times New Roman" w:hint="default"/>
      <w:vertAlign w:val="superscript"/>
    </w:rPr>
  </w:style>
</w:styles>
</file>

<file path=word/webSettings.xml><?xml version="1.0" encoding="utf-8"?>
<w:webSettings xmlns:r="http://schemas.openxmlformats.org/officeDocument/2006/relationships" xmlns:w="http://schemas.openxmlformats.org/wordprocessingml/2006/main">
  <w:divs>
    <w:div w:id="182180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2935</Characters>
  <Application>Microsoft Office Word</Application>
  <DocSecurity>0</DocSecurity>
  <Lines>24</Lines>
  <Paragraphs>6</Paragraphs>
  <ScaleCrop>false</ScaleCrop>
  <Company>TU Wien - Campusversion</Company>
  <LinksUpToDate>false</LinksUpToDate>
  <CharactersWithSpaces>3394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dc:creator>
  <cp:lastModifiedBy>Berater</cp:lastModifiedBy>
  <cp:revision>3</cp:revision>
  <dcterms:created xsi:type="dcterms:W3CDTF">2012-12-05T12:43:00Z</dcterms:created>
  <dcterms:modified xsi:type="dcterms:W3CDTF">2012-12-05T12:45:00Z</dcterms:modified>
</cp:coreProperties>
</file>